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68A0" w14:textId="77777777" w:rsidR="000C72BF" w:rsidRDefault="000B5348" w:rsidP="00DF4376">
      <w:pPr>
        <w:pStyle w:val="Heading1"/>
        <w:jc w:val="center"/>
      </w:pPr>
      <w:r>
        <w:t>CCSM Telecon</w:t>
      </w:r>
      <w:r w:rsidR="00954287">
        <w:t>/Webex</w:t>
      </w:r>
      <w:r w:rsidR="008379BB">
        <w:t>, 04 June</w:t>
      </w:r>
      <w:r w:rsidR="00114208">
        <w:t xml:space="preserve"> 2019</w:t>
      </w:r>
    </w:p>
    <w:p w14:paraId="6CB67ED1" w14:textId="77777777" w:rsidR="00A96D75" w:rsidRDefault="00DF4376" w:rsidP="008F01E8">
      <w:pPr>
        <w:pStyle w:val="Heading1"/>
      </w:pPr>
      <w:r>
        <w:t>Attendees</w:t>
      </w:r>
    </w:p>
    <w:p w14:paraId="302BF6B6" w14:textId="77777777" w:rsidR="00416046" w:rsidRPr="00416046" w:rsidRDefault="00416046" w:rsidP="00416046">
      <w:r>
        <w:t>E. Barkley, A. Crowson, M. Gnat, C. Haddow, J. Pietras</w:t>
      </w:r>
    </w:p>
    <w:p w14:paraId="21A4756B" w14:textId="77777777" w:rsidR="00213185" w:rsidRDefault="00CC63D9" w:rsidP="00196CDE">
      <w:pPr>
        <w:pStyle w:val="Heading1"/>
      </w:pPr>
      <w:r>
        <w:t xml:space="preserve">Agenda </w:t>
      </w:r>
      <w:r w:rsidR="00FD6372">
        <w:t xml:space="preserve">(as adjusted during the meetings) </w:t>
      </w:r>
    </w:p>
    <w:p w14:paraId="3D39406B" w14:textId="77777777" w:rsidR="00213185" w:rsidRDefault="00196CDE" w:rsidP="00213185">
      <w:pPr>
        <w:pStyle w:val="Heading2"/>
        <w:numPr>
          <w:ilvl w:val="0"/>
          <w:numId w:val="1"/>
        </w:numPr>
      </w:pPr>
      <w:r>
        <w:t xml:space="preserve">General </w:t>
      </w:r>
      <w:r w:rsidR="00213185">
        <w:t>Announcements</w:t>
      </w:r>
    </w:p>
    <w:p w14:paraId="58692BB3" w14:textId="77777777" w:rsidR="00196CDE" w:rsidRDefault="008379BB" w:rsidP="00196CDE">
      <w:pPr>
        <w:pStyle w:val="ListParagraph"/>
        <w:numPr>
          <w:ilvl w:val="0"/>
          <w:numId w:val="13"/>
        </w:numPr>
      </w:pPr>
      <w:r>
        <w:t>Abstract Event Red-1 Agency review resolution issued</w:t>
      </w:r>
    </w:p>
    <w:p w14:paraId="55BE6245" w14:textId="77777777" w:rsidR="008379BB" w:rsidRDefault="008379BB" w:rsidP="00196CDE">
      <w:pPr>
        <w:pStyle w:val="ListParagraph"/>
        <w:numPr>
          <w:ilvl w:val="0"/>
          <w:numId w:val="13"/>
        </w:numPr>
      </w:pPr>
      <w:r>
        <w:t>CMC meets starting 1 week from today</w:t>
      </w:r>
    </w:p>
    <w:p w14:paraId="03CCCEA8" w14:textId="77777777" w:rsidR="00D10DBF" w:rsidRDefault="008379BB" w:rsidP="00D10DBF">
      <w:pPr>
        <w:pStyle w:val="ListParagraph"/>
        <w:numPr>
          <w:ilvl w:val="0"/>
          <w:numId w:val="13"/>
        </w:numPr>
      </w:pPr>
      <w:r>
        <w:t>Potential for starting new WG for CSS Architecture</w:t>
      </w:r>
    </w:p>
    <w:p w14:paraId="6320B17C" w14:textId="77777777" w:rsidR="00416046" w:rsidRDefault="00416046" w:rsidP="00416046">
      <w:pPr>
        <w:pStyle w:val="ListParagraph"/>
        <w:numPr>
          <w:ilvl w:val="1"/>
          <w:numId w:val="13"/>
        </w:numPr>
      </w:pPr>
      <w:r>
        <w:t>it may make sense to consider the refresh of the Architecture Description Document and Architecture Requirements Document along with the Functional Resource Model and refresh of the SLE Reference Model as part of an overall architecture level working group</w:t>
      </w:r>
    </w:p>
    <w:p w14:paraId="7845D38F" w14:textId="77777777" w:rsidR="00416046" w:rsidRDefault="00416046" w:rsidP="00416046">
      <w:pPr>
        <w:pStyle w:val="ListParagraph"/>
        <w:numPr>
          <w:ilvl w:val="1"/>
          <w:numId w:val="13"/>
        </w:numPr>
      </w:pPr>
      <w:r>
        <w:t>noted that the resources for starting the working group are more substantial than assigning projects to existing working groups</w:t>
      </w:r>
    </w:p>
    <w:p w14:paraId="29D21C45" w14:textId="77777777" w:rsidR="00416046" w:rsidRDefault="00416046" w:rsidP="00416046">
      <w:pPr>
        <w:pStyle w:val="ListParagraph"/>
        <w:numPr>
          <w:ilvl w:val="1"/>
          <w:numId w:val="13"/>
        </w:numPr>
      </w:pPr>
      <w:r>
        <w:t>also noted that the functional resource model will have to be stated in a way to allow for its evolution</w:t>
      </w:r>
    </w:p>
    <w:p w14:paraId="7C935EB3" w14:textId="77777777" w:rsidR="00416046" w:rsidRDefault="00416046" w:rsidP="00416046">
      <w:pPr>
        <w:pStyle w:val="ListParagraph"/>
        <w:numPr>
          <w:ilvl w:val="1"/>
          <w:numId w:val="13"/>
        </w:numPr>
      </w:pPr>
      <w:r>
        <w:t>the above considerations, although requiring more resources, tend to suggest that a new working group may be the better approach rather than trying to parcel various projects into the existing working groups of the area</w:t>
      </w:r>
    </w:p>
    <w:p w14:paraId="3CA4FEDA" w14:textId="77777777" w:rsidR="00D10DBF" w:rsidRPr="00196CDE" w:rsidRDefault="00D10DBF" w:rsidP="00D10DBF">
      <w:pPr>
        <w:pStyle w:val="ListParagraph"/>
        <w:numPr>
          <w:ilvl w:val="0"/>
          <w:numId w:val="13"/>
        </w:numPr>
      </w:pPr>
      <w:r>
        <w:t xml:space="preserve">Time BOF currently in polling to become Time WG </w:t>
      </w:r>
      <w:r w:rsidR="008379BB">
        <w:t xml:space="preserve"> </w:t>
      </w:r>
    </w:p>
    <w:p w14:paraId="20D1B48F" w14:textId="77777777" w:rsidR="008379BB" w:rsidRDefault="008379BB" w:rsidP="004A67C7">
      <w:pPr>
        <w:pStyle w:val="Heading2"/>
        <w:numPr>
          <w:ilvl w:val="0"/>
          <w:numId w:val="1"/>
        </w:numPr>
      </w:pPr>
      <w:r>
        <w:t xml:space="preserve">Spring 2019 Meetings Summary Check </w:t>
      </w:r>
    </w:p>
    <w:p w14:paraId="280890BE" w14:textId="77777777" w:rsidR="00416046" w:rsidRDefault="00416046" w:rsidP="00416046">
      <w:pPr>
        <w:pStyle w:val="ListParagraph"/>
        <w:numPr>
          <w:ilvl w:val="0"/>
          <w:numId w:val="26"/>
        </w:numPr>
      </w:pPr>
      <w:r>
        <w:t>a minor update with regard to the service agreement and configuration profile approach was noted</w:t>
      </w:r>
    </w:p>
    <w:p w14:paraId="6BA584BD" w14:textId="77777777" w:rsidR="00416046" w:rsidRPr="00416046" w:rsidRDefault="00416046" w:rsidP="00416046">
      <w:pPr>
        <w:pStyle w:val="ListParagraph"/>
        <w:numPr>
          <w:ilvl w:val="1"/>
          <w:numId w:val="26"/>
        </w:numPr>
      </w:pPr>
      <w:r>
        <w:t>J. Pietras to provide an email with suggested update text</w:t>
      </w:r>
    </w:p>
    <w:p w14:paraId="47E23DF2" w14:textId="77777777" w:rsidR="004A67C7" w:rsidRDefault="00196CDE" w:rsidP="004A67C7">
      <w:pPr>
        <w:pStyle w:val="Heading2"/>
        <w:numPr>
          <w:ilvl w:val="0"/>
          <w:numId w:val="1"/>
        </w:numPr>
      </w:pPr>
      <w:r>
        <w:t>Action Items Check</w:t>
      </w:r>
    </w:p>
    <w:p w14:paraId="4D6F4D59" w14:textId="77777777" w:rsidR="00416046" w:rsidRDefault="00416046" w:rsidP="00416046">
      <w:pPr>
        <w:pStyle w:val="ListParagraph"/>
        <w:numPr>
          <w:ilvl w:val="0"/>
          <w:numId w:val="27"/>
        </w:numPr>
      </w:pPr>
      <w:r>
        <w:t>no new action items assigned</w:t>
      </w:r>
    </w:p>
    <w:p w14:paraId="41F72068" w14:textId="77777777" w:rsidR="00416046" w:rsidRDefault="00416046" w:rsidP="00416046">
      <w:pPr>
        <w:pStyle w:val="ListParagraph"/>
        <w:numPr>
          <w:ilvl w:val="0"/>
          <w:numId w:val="27"/>
        </w:numPr>
      </w:pPr>
      <w:r>
        <w:t>revised due dates for two action items noted</w:t>
      </w:r>
    </w:p>
    <w:p w14:paraId="40A2FDCA" w14:textId="77777777" w:rsidR="0055626C" w:rsidRDefault="008379BB" w:rsidP="004A67C7">
      <w:pPr>
        <w:pStyle w:val="Heading2"/>
        <w:numPr>
          <w:ilvl w:val="0"/>
          <w:numId w:val="1"/>
        </w:numPr>
      </w:pPr>
      <w:r>
        <w:t xml:space="preserve">Updated Recommendations </w:t>
      </w:r>
    </w:p>
    <w:p w14:paraId="47EEF737" w14:textId="77777777" w:rsidR="00416046" w:rsidRDefault="00416046" w:rsidP="00416046">
      <w:pPr>
        <w:pStyle w:val="ListParagraph"/>
        <w:numPr>
          <w:ilvl w:val="0"/>
          <w:numId w:val="28"/>
        </w:numPr>
      </w:pPr>
      <w:r>
        <w:t>Confirmed that the latest update for the Service Package Data Format is to be considered the candidate submitted for Area Director review leading toward agency review</w:t>
      </w:r>
    </w:p>
    <w:p w14:paraId="358EC1BD" w14:textId="77777777" w:rsidR="00416046" w:rsidRDefault="00416046" w:rsidP="00416046">
      <w:pPr>
        <w:pStyle w:val="ListParagraph"/>
        <w:numPr>
          <w:ilvl w:val="0"/>
          <w:numId w:val="28"/>
        </w:numPr>
      </w:pPr>
      <w:r>
        <w:t>confirmed that the updated SMURF, pending ICS statement, is likely to be available by early July</w:t>
      </w:r>
    </w:p>
    <w:p w14:paraId="40AB3173" w14:textId="77777777" w:rsidR="00416046" w:rsidRPr="00416046" w:rsidRDefault="00416046" w:rsidP="00416046">
      <w:pPr>
        <w:pStyle w:val="ListParagraph"/>
        <w:numPr>
          <w:ilvl w:val="0"/>
          <w:numId w:val="28"/>
        </w:numPr>
      </w:pPr>
      <w:r>
        <w:t>noted that there will be several agency reviews likely in the coming months</w:t>
      </w:r>
    </w:p>
    <w:p w14:paraId="0294CEB1" w14:textId="77777777" w:rsidR="00D360BC" w:rsidRDefault="008379BB" w:rsidP="008379BB">
      <w:pPr>
        <w:pStyle w:val="Heading2"/>
        <w:numPr>
          <w:ilvl w:val="0"/>
          <w:numId w:val="1"/>
        </w:numPr>
      </w:pPr>
      <w:r>
        <w:t>Registry Technote updates</w:t>
      </w:r>
    </w:p>
    <w:p w14:paraId="21C9FB79" w14:textId="77777777" w:rsidR="00416046" w:rsidRDefault="00FD6372" w:rsidP="00416046">
      <w:pPr>
        <w:pStyle w:val="ListParagraph"/>
        <w:numPr>
          <w:ilvl w:val="0"/>
          <w:numId w:val="29"/>
        </w:numPr>
      </w:pPr>
      <w:r>
        <w:t>Walked through updated text (see below for extracted udate)</w:t>
      </w:r>
    </w:p>
    <w:p w14:paraId="5CC11A03" w14:textId="77777777" w:rsidR="00FD6372" w:rsidRDefault="00FD6372" w:rsidP="00416046">
      <w:pPr>
        <w:pStyle w:val="ListParagraph"/>
        <w:numPr>
          <w:ilvl w:val="0"/>
          <w:numId w:val="29"/>
        </w:numPr>
      </w:pPr>
      <w:r>
        <w:t>Noted that there is a need for some sort of “additional registry” considerations</w:t>
      </w:r>
    </w:p>
    <w:p w14:paraId="770FD9C0" w14:textId="77777777" w:rsidR="00FD6372" w:rsidRPr="00416046" w:rsidRDefault="00FD6372" w:rsidP="00416046">
      <w:pPr>
        <w:pStyle w:val="ListParagraph"/>
        <w:numPr>
          <w:ilvl w:val="0"/>
          <w:numId w:val="29"/>
        </w:numPr>
      </w:pPr>
      <w:r>
        <w:t xml:space="preserve">E. Barkley will compare tech note vs SANA sections for the serveral recommendations progressing toward agency review </w:t>
      </w:r>
    </w:p>
    <w:p w14:paraId="362193D6" w14:textId="77777777" w:rsidR="00FD6372" w:rsidRDefault="00CC63D9" w:rsidP="00FD6372">
      <w:pPr>
        <w:pStyle w:val="Heading2"/>
        <w:numPr>
          <w:ilvl w:val="0"/>
          <w:numId w:val="1"/>
        </w:numPr>
      </w:pPr>
      <w:r>
        <w:lastRenderedPageBreak/>
        <w:t>P</w:t>
      </w:r>
      <w:r w:rsidR="008D1B74">
        <w:t>IF Prototyping</w:t>
      </w:r>
      <w:r>
        <w:t xml:space="preserve">  </w:t>
      </w:r>
    </w:p>
    <w:p w14:paraId="41314099" w14:textId="77777777" w:rsidR="00FD6372" w:rsidRDefault="00FD6372" w:rsidP="00FD6372">
      <w:pPr>
        <w:pStyle w:val="ListParagraph"/>
        <w:numPr>
          <w:ilvl w:val="0"/>
          <w:numId w:val="32"/>
        </w:numPr>
      </w:pPr>
      <w:r>
        <w:t>Agreed to update the prototypes to use the latest PIF schema</w:t>
      </w:r>
    </w:p>
    <w:p w14:paraId="19880ED7" w14:textId="77777777" w:rsidR="00FD6372" w:rsidRPr="00FD6372" w:rsidRDefault="00FD6372" w:rsidP="00FD6372">
      <w:pPr>
        <w:pStyle w:val="ListParagraph"/>
        <w:numPr>
          <w:ilvl w:val="0"/>
          <w:numId w:val="32"/>
        </w:numPr>
      </w:pPr>
      <w:r>
        <w:t>agreed to rerun the ESA output re production of occultation information with the new geocentric accommodation in the updated XML schema</w:t>
      </w:r>
    </w:p>
    <w:p w14:paraId="13AE1F1B" w14:textId="77777777" w:rsidR="00FD6372" w:rsidRDefault="00FD6372" w:rsidP="00D10DBF">
      <w:pPr>
        <w:pStyle w:val="Heading2"/>
        <w:numPr>
          <w:ilvl w:val="0"/>
          <w:numId w:val="1"/>
        </w:numPr>
      </w:pPr>
      <w:r>
        <w:t>Common RID Tooling for upcoming CSSM Agency reviews</w:t>
      </w:r>
      <w:r>
        <w:t xml:space="preserve"> </w:t>
      </w:r>
    </w:p>
    <w:p w14:paraId="19EC0FD9" w14:textId="77777777" w:rsidR="00FD6372" w:rsidRDefault="00FD6372" w:rsidP="00FD6372">
      <w:pPr>
        <w:pStyle w:val="ListParagraph"/>
        <w:numPr>
          <w:ilvl w:val="0"/>
          <w:numId w:val="34"/>
        </w:numPr>
      </w:pPr>
      <w:r>
        <w:t>Reviewed the PDF form for input of rids</w:t>
      </w:r>
    </w:p>
    <w:p w14:paraId="1028C4C9" w14:textId="77777777" w:rsidR="00FD6372" w:rsidRDefault="00FD6372" w:rsidP="00FD6372">
      <w:pPr>
        <w:pStyle w:val="ListParagraph"/>
        <w:numPr>
          <w:ilvl w:val="0"/>
          <w:numId w:val="34"/>
        </w:numPr>
      </w:pPr>
      <w:r>
        <w:t>noted that the intention is to facilitate collection of rids into a database for easier processing; especially as we have several agency reviews likely to start in the relatively near future</w:t>
      </w:r>
    </w:p>
    <w:p w14:paraId="07121B67" w14:textId="77777777" w:rsidR="00FD6372" w:rsidRPr="00FD6372" w:rsidRDefault="00FD6372" w:rsidP="00FD6372">
      <w:pPr>
        <w:pStyle w:val="ListParagraph"/>
        <w:numPr>
          <w:ilvl w:val="0"/>
          <w:numId w:val="34"/>
        </w:numPr>
      </w:pPr>
      <w:r>
        <w:t>action to E. Barkley to provide a sample output from the Excel file produced from the NASA online rid system for consideration by C. Haddow</w:t>
      </w:r>
    </w:p>
    <w:p w14:paraId="5CB203BA" w14:textId="77777777" w:rsidR="00D10DBF" w:rsidRDefault="008379BB" w:rsidP="00FD6372">
      <w:pPr>
        <w:pStyle w:val="Heading2"/>
        <w:numPr>
          <w:ilvl w:val="0"/>
          <w:numId w:val="1"/>
        </w:numPr>
      </w:pPr>
      <w:r>
        <w:t xml:space="preserve">REST Styles </w:t>
      </w:r>
    </w:p>
    <w:p w14:paraId="3445D116" w14:textId="77777777" w:rsidR="00FD6372" w:rsidRDefault="00FD6372" w:rsidP="00FD6372">
      <w:pPr>
        <w:pStyle w:val="ListParagraph"/>
        <w:numPr>
          <w:ilvl w:val="0"/>
          <w:numId w:val="35"/>
        </w:numPr>
      </w:pPr>
      <w:r>
        <w:t>briefly walked through the presentation to gain familiarity with the various aspects that the analysis deals with</w:t>
      </w:r>
    </w:p>
    <w:p w14:paraId="7572FCA6" w14:textId="77777777" w:rsidR="00FD6372" w:rsidRPr="00FD6372" w:rsidRDefault="00FD6372" w:rsidP="00FD6372">
      <w:pPr>
        <w:pStyle w:val="ListParagraph"/>
        <w:numPr>
          <w:ilvl w:val="0"/>
          <w:numId w:val="35"/>
        </w:numPr>
      </w:pPr>
      <w:r>
        <w:t>agreed to make this more of a focused discussion at the August 6 teleconference</w:t>
      </w:r>
    </w:p>
    <w:p w14:paraId="57536D55" w14:textId="77777777" w:rsidR="00FD6372" w:rsidRPr="00FD6372" w:rsidRDefault="00DC6722" w:rsidP="00FD6372">
      <w:pPr>
        <w:pStyle w:val="Heading2"/>
        <w:numPr>
          <w:ilvl w:val="0"/>
          <w:numId w:val="1"/>
        </w:numPr>
      </w:pPr>
      <w:r>
        <w:t>AOB</w:t>
      </w:r>
      <w:r w:rsidR="00FD6372">
        <w:t xml:space="preserve"> (None)</w:t>
      </w:r>
    </w:p>
    <w:p w14:paraId="369627A0" w14:textId="77777777" w:rsidR="008245D4" w:rsidRPr="008245D4" w:rsidRDefault="008245D4" w:rsidP="008245D4"/>
    <w:p w14:paraId="397B057C" w14:textId="77777777" w:rsidR="00132601" w:rsidRDefault="00132601" w:rsidP="00132601">
      <w:pPr>
        <w:pStyle w:val="Heading1"/>
      </w:pPr>
      <w:r>
        <w:t>Next Telecon</w:t>
      </w:r>
    </w:p>
    <w:p w14:paraId="3F8E3027" w14:textId="77777777" w:rsidR="00FD6372" w:rsidRPr="00FD6372" w:rsidRDefault="00FD6372" w:rsidP="00FD6372">
      <w:r>
        <w:t>Our</w:t>
      </w:r>
      <w:bookmarkStart w:id="0" w:name="_GoBack"/>
      <w:bookmarkEnd w:id="0"/>
      <w:r>
        <w:t xml:space="preserve"> next teleconference is scheduled for June 25.</w:t>
      </w:r>
    </w:p>
    <w:p w14:paraId="4CDA144B" w14:textId="77777777" w:rsidR="00A3352A" w:rsidRDefault="00A3352A" w:rsidP="00314111"/>
    <w:p w14:paraId="65497010" w14:textId="77777777" w:rsidR="00A3352A" w:rsidRDefault="00FD6372" w:rsidP="00FD6372">
      <w:pPr>
        <w:pStyle w:val="Heading1"/>
      </w:pPr>
      <w:r>
        <w:t>Updated registry technote text:</w:t>
      </w:r>
    </w:p>
    <w:p w14:paraId="4D5D0874" w14:textId="77777777" w:rsidR="00FD6372" w:rsidRPr="00FD6372" w:rsidRDefault="00FD6372" w:rsidP="00FD6372"/>
    <w:p w14:paraId="051A2089" w14:textId="77777777" w:rsidR="00FD6372" w:rsidRDefault="00FD6372" w:rsidP="00FD6372">
      <w:pPr>
        <w:pStyle w:val="Heading2"/>
      </w:pPr>
      <w:r>
        <w:t xml:space="preserve">THE GUIDELINES </w:t>
      </w:r>
    </w:p>
    <w:p w14:paraId="565EEBCE" w14:textId="77777777" w:rsidR="00FD6372" w:rsidRDefault="00FD6372" w:rsidP="00FD6372">
      <w:r>
        <w:t xml:space="preserve">The following is the text, with </w:t>
      </w:r>
      <w:r>
        <w:t>adjustments</w:t>
      </w:r>
      <w:r>
        <w:t xml:space="preserve"> is to be include for the SANA registries consideration.  Unless </w:t>
      </w:r>
      <w:r>
        <w:t>otherwise</w:t>
      </w:r>
      <w:r>
        <w:t xml:space="preserve"> noted via markup, the text below is to be included verbatim.</w:t>
      </w:r>
    </w:p>
    <w:p w14:paraId="128914FB" w14:textId="77777777" w:rsidR="00FD6372" w:rsidRDefault="00FD6372" w:rsidP="00FD6372"/>
    <w:p w14:paraId="2FF69E2D" w14:textId="77777777" w:rsidR="00FD6372" w:rsidRDefault="00FD6372" w:rsidP="00FD6372"/>
    <w:p w14:paraId="231EF8A5" w14:textId="77777777" w:rsidR="00FD6372" w:rsidRDefault="00FD6372" w:rsidP="00FD6372">
      <w:r>
        <w:t xml:space="preserve">B2 </w:t>
      </w:r>
      <w:r>
        <w:tab/>
      </w:r>
      <w:r w:rsidRPr="00E51109">
        <w:rPr>
          <w:b/>
        </w:rPr>
        <w:t>SANA CONSIDERATIONS</w:t>
      </w:r>
      <w:r>
        <w:t xml:space="preserve"> </w:t>
      </w:r>
    </w:p>
    <w:p w14:paraId="763592AD" w14:textId="77777777" w:rsidR="00FD6372" w:rsidRDefault="00FD6372" w:rsidP="00FD6372">
      <w:r>
        <w:t xml:space="preserve">B2.1 </w:t>
      </w:r>
      <w:r w:rsidRPr="00A458A8">
        <w:rPr>
          <w:b/>
        </w:rPr>
        <w:t xml:space="preserve">GENERAL </w:t>
      </w:r>
    </w:p>
    <w:p w14:paraId="0048F4A8" w14:textId="77777777" w:rsidR="00FD6372" w:rsidRDefault="00FD6372" w:rsidP="00FD6372">
      <w:r>
        <w:t xml:space="preserve">The recommendations of this document rely on the SANA registries described below. New assignments in these registries, in conformance with the policies identified, will be available at the SANA registry Web site: http://sanaregistry.org. Therefore the reader shall look at the SANA Web site for all the assignments contained in these registries. </w:t>
      </w:r>
    </w:p>
    <w:p w14:paraId="09DE839D" w14:textId="77777777" w:rsidR="00FD6372" w:rsidRDefault="00FD6372" w:rsidP="00FD6372">
      <w:r>
        <w:t xml:space="preserve">B2.2 </w:t>
      </w:r>
      <w:r w:rsidRPr="00A458A8">
        <w:rPr>
          <w:b/>
        </w:rPr>
        <w:t>REGISTRY FOR</w:t>
      </w:r>
      <w:r>
        <w:t xml:space="preserve"> </w:t>
      </w:r>
      <w:r w:rsidRPr="00A458A8">
        <w:rPr>
          <w:rFonts w:ascii="Courier New" w:hAnsi="Courier New" w:cs="Courier New"/>
        </w:rPr>
        <w:t>originatingOrganization</w:t>
      </w:r>
      <w:r w:rsidRPr="00323A0F">
        <w:rPr>
          <w:b/>
        </w:rPr>
        <w:t xml:space="preserve"> </w:t>
      </w:r>
      <w:r>
        <w:t xml:space="preserve"> </w:t>
      </w:r>
    </w:p>
    <w:p w14:paraId="386BC274" w14:textId="77777777" w:rsidR="00FD6372" w:rsidRPr="00323A0F" w:rsidRDefault="00FD6372" w:rsidP="00FD6372">
      <w:pPr>
        <w:rPr>
          <w:color w:val="0099FF"/>
        </w:rPr>
      </w:pPr>
      <w:r w:rsidRPr="00323A0F">
        <w:rPr>
          <w:color w:val="0099FF"/>
        </w:rPr>
        <w:t>&lt;&lt;</w:t>
      </w:r>
      <w:r>
        <w:rPr>
          <w:color w:val="0099FF"/>
        </w:rPr>
        <w:t>Unless your books does something different, use the following boilerlate, substituting as noted</w:t>
      </w:r>
      <w:r w:rsidRPr="00323A0F">
        <w:rPr>
          <w:color w:val="0099FF"/>
        </w:rPr>
        <w:t>&gt;&gt;&gt;</w:t>
      </w:r>
    </w:p>
    <w:p w14:paraId="190FA8A3" w14:textId="77777777" w:rsidR="00FD6372" w:rsidRDefault="00FD6372" w:rsidP="00FD6372">
      <w:r>
        <w:lastRenderedPageBreak/>
        <w:t xml:space="preserve">See CCSDS 902.12, Annex A, Section A.2.2.  For this recommendation a role of </w:t>
      </w:r>
      <w:r w:rsidRPr="00425C0B">
        <w:rPr>
          <w:i/>
        </w:rPr>
        <w:t>&lt;&lt;chose one of ‘Provider CSSS’ | ‘User CSSS’&gt;&gt;</w:t>
      </w:r>
      <w:r>
        <w:t xml:space="preserve"> is assigned.  </w:t>
      </w:r>
      <w:r w:rsidRPr="00A458A8">
        <w:rPr>
          <w:color w:val="0099FF"/>
        </w:rPr>
        <w:t>&lt;&lt;Note: if the data format is request oriented then the role is ‘User CSSS’; if the data format is result oriented, then the role is ‘Provider CSSS’.  If the recommendation has both request and result aspects then the role assignments need to be properly explained -- i.e. conditions stated for which the originating organization is a provider and conditions in which the originating organization is a user&gt;&gt;</w:t>
      </w:r>
    </w:p>
    <w:p w14:paraId="08C52ADE" w14:textId="77777777" w:rsidR="00FD6372" w:rsidRDefault="00FD6372" w:rsidP="00FD6372"/>
    <w:p w14:paraId="0F0A3C3A" w14:textId="77777777" w:rsidR="00FD6372" w:rsidRDefault="00FD6372" w:rsidP="00FD6372">
      <w:r>
        <w:t xml:space="preserve">B2.3 </w:t>
      </w:r>
      <w:r w:rsidRPr="00E51109">
        <w:rPr>
          <w:b/>
        </w:rPr>
        <w:t>REGISTRY FOR</w:t>
      </w:r>
      <w:r>
        <w:t xml:space="preserve"> </w:t>
      </w:r>
      <w:r w:rsidRPr="00E51109">
        <w:rPr>
          <w:rFonts w:ascii="Courier New" w:hAnsi="Courier New" w:cs="Courier New"/>
        </w:rPr>
        <w:t xml:space="preserve">user </w:t>
      </w:r>
      <w:r>
        <w:t xml:space="preserve"> </w:t>
      </w:r>
    </w:p>
    <w:p w14:paraId="16B52BAE" w14:textId="77777777" w:rsidR="00FD6372" w:rsidRPr="00323A0F" w:rsidRDefault="00FD6372" w:rsidP="00FD6372">
      <w:pPr>
        <w:rPr>
          <w:color w:val="0099FF"/>
        </w:rPr>
      </w:pPr>
      <w:r w:rsidRPr="00323A0F">
        <w:rPr>
          <w:color w:val="0099FF"/>
        </w:rPr>
        <w:t>&lt;&lt;</w:t>
      </w:r>
      <w:r>
        <w:rPr>
          <w:color w:val="0099FF"/>
        </w:rPr>
        <w:t>Unless your books does something different, use the following boilerlate, substituting as noted</w:t>
      </w:r>
      <w:r w:rsidRPr="00323A0F">
        <w:rPr>
          <w:color w:val="0099FF"/>
        </w:rPr>
        <w:t>&gt;&gt;&gt;</w:t>
      </w:r>
    </w:p>
    <w:p w14:paraId="3F5964F0" w14:textId="77777777" w:rsidR="00FD6372" w:rsidRDefault="00FD6372" w:rsidP="00FD6372">
      <w:r>
        <w:t>See CCSDS 902.12, Annex A, Section A.2.3</w:t>
      </w:r>
    </w:p>
    <w:p w14:paraId="638223E7" w14:textId="77777777" w:rsidR="00FD6372" w:rsidRDefault="00FD6372" w:rsidP="00FD6372">
      <w:r w:rsidRPr="00323A0F">
        <w:rPr>
          <w:color w:val="0099FF"/>
        </w:rPr>
        <w:t>&lt;&lt;</w:t>
      </w:r>
      <w:r>
        <w:rPr>
          <w:color w:val="0099FF"/>
        </w:rPr>
        <w:t>If your book requires reserved values for the user field, such as that which occurs in the Simmple Schedule Format, then please add the following, providing the specific reserved values as indicated below&gt;&gt;</w:t>
      </w:r>
    </w:p>
    <w:p w14:paraId="12A83128" w14:textId="77777777" w:rsidR="00FD6372" w:rsidRDefault="00FD6372" w:rsidP="00FD6372">
      <w:r>
        <w:t xml:space="preserve">In addition to the values for the ‘user’ parameter contained in the CCSDS Spacecraft Identifiers registry, the following values need to be recognized by implementations (see </w:t>
      </w:r>
      <w:r w:rsidRPr="00103881">
        <w:rPr>
          <w:i/>
        </w:rPr>
        <w:t>&lt;&lt;correct table reference for your particular book&gt;&gt;</w:t>
      </w:r>
      <w:r>
        <w:t xml:space="preserve">): </w:t>
      </w:r>
    </w:p>
    <w:p w14:paraId="59729602" w14:textId="77777777" w:rsidR="00FD6372" w:rsidRDefault="00FD6372" w:rsidP="00FD6372">
      <w:r>
        <w:t xml:space="preserve">user </w:t>
      </w:r>
      <w:r>
        <w:tab/>
      </w:r>
      <w:r>
        <w:tab/>
      </w:r>
      <w:r>
        <w:tab/>
      </w:r>
      <w:r>
        <w:tab/>
        <w:t xml:space="preserve">Description </w:t>
      </w:r>
    </w:p>
    <w:p w14:paraId="1BF1B9B3" w14:textId="77777777" w:rsidR="00FD6372" w:rsidRPr="00103881" w:rsidRDefault="00FD6372" w:rsidP="00FD6372">
      <w:pPr>
        <w:rPr>
          <w:i/>
        </w:rPr>
      </w:pPr>
      <w:r w:rsidRPr="00103881">
        <w:rPr>
          <w:i/>
        </w:rPr>
        <w:t xml:space="preserve">&lt;&lt;VALUE 1&gt;&gt; </w:t>
      </w:r>
      <w:r w:rsidRPr="00103881">
        <w:rPr>
          <w:i/>
        </w:rPr>
        <w:tab/>
        <w:t>&lt;&lt;Description for VALUE 1&gt;&gt;</w:t>
      </w:r>
    </w:p>
    <w:p w14:paraId="236DBBE1" w14:textId="77777777" w:rsidR="00FD6372" w:rsidRPr="00103881" w:rsidRDefault="00FD6372" w:rsidP="00FD6372">
      <w:pPr>
        <w:rPr>
          <w:i/>
        </w:rPr>
      </w:pPr>
      <w:r w:rsidRPr="00103881">
        <w:rPr>
          <w:i/>
        </w:rPr>
        <w:t xml:space="preserve">&lt;&lt;VALUE N&gt;&gt; </w:t>
      </w:r>
      <w:r w:rsidRPr="00103881">
        <w:rPr>
          <w:i/>
        </w:rPr>
        <w:tab/>
        <w:t>&lt;&lt;Description for VALUE N&gt;&gt;</w:t>
      </w:r>
    </w:p>
    <w:p w14:paraId="43CD74E3" w14:textId="77777777" w:rsidR="00FD6372" w:rsidRPr="00103881" w:rsidRDefault="00FD6372" w:rsidP="00FD6372">
      <w:pPr>
        <w:rPr>
          <w:i/>
        </w:rPr>
      </w:pPr>
    </w:p>
    <w:p w14:paraId="3C0A139D" w14:textId="77777777" w:rsidR="00FD6372" w:rsidRPr="00BF7B34" w:rsidRDefault="00FD6372" w:rsidP="00FD6372">
      <w:pPr>
        <w:rPr>
          <w:rFonts w:ascii="Courier New" w:hAnsi="Courier New" w:cs="Courier New"/>
          <w:b/>
        </w:rPr>
      </w:pPr>
      <w:r>
        <w:t xml:space="preserve">B2.4 </w:t>
      </w:r>
      <w:r w:rsidRPr="00BF7B34">
        <w:rPr>
          <w:b/>
        </w:rPr>
        <w:t>REGISTRY FOR</w:t>
      </w:r>
      <w:r>
        <w:t xml:space="preserve"> </w:t>
      </w:r>
      <w:r w:rsidRPr="00BF7B34">
        <w:rPr>
          <w:rFonts w:ascii="Courier New" w:hAnsi="Courier New" w:cs="Courier New"/>
          <w:b/>
        </w:rPr>
        <w:t xml:space="preserve">siteRef AND apertureRef </w:t>
      </w:r>
    </w:p>
    <w:p w14:paraId="699F3E22" w14:textId="77777777" w:rsidR="00FD6372" w:rsidRPr="00323A0F" w:rsidRDefault="00FD6372" w:rsidP="00FD6372">
      <w:pPr>
        <w:rPr>
          <w:color w:val="0099FF"/>
        </w:rPr>
      </w:pPr>
      <w:r w:rsidRPr="00323A0F">
        <w:rPr>
          <w:color w:val="0099FF"/>
        </w:rPr>
        <w:t>&lt;&lt;</w:t>
      </w:r>
      <w:r>
        <w:rPr>
          <w:color w:val="0099FF"/>
        </w:rPr>
        <w:t>Unless your books does something different, use the following boilerlate</w:t>
      </w:r>
      <w:r w:rsidRPr="00323A0F">
        <w:rPr>
          <w:color w:val="0099FF"/>
        </w:rPr>
        <w:t>&gt;&gt;</w:t>
      </w:r>
    </w:p>
    <w:p w14:paraId="1D1F7EDD" w14:textId="77777777" w:rsidR="00FD6372" w:rsidRDefault="00FD6372" w:rsidP="00FD6372">
      <w:r>
        <w:t>See CCSDS 902.12, Annex A, Section A.2.4</w:t>
      </w:r>
    </w:p>
    <w:p w14:paraId="5C5295F6" w14:textId="77777777" w:rsidR="00FD6372" w:rsidRDefault="00FD6372" w:rsidP="00FD6372"/>
    <w:p w14:paraId="674FE89D" w14:textId="77777777" w:rsidR="00FD6372" w:rsidRPr="00F46039" w:rsidRDefault="00FD6372" w:rsidP="00FD6372">
      <w:pPr>
        <w:rPr>
          <w:color w:val="0099FF"/>
        </w:rPr>
      </w:pPr>
      <w:r w:rsidRPr="00323A0F">
        <w:rPr>
          <w:color w:val="0099FF"/>
        </w:rPr>
        <w:t>&lt;&lt;</w:t>
      </w:r>
      <w:r>
        <w:rPr>
          <w:color w:val="0099FF"/>
        </w:rPr>
        <w:t xml:space="preserve">Unless your book has some sort of association meta data that allows for association kinds to be dfined, do not include the B.2.5 section immediately below. If there are kinds of associations  to be registered, then please include the boilerplate below, updating as noted </w:t>
      </w:r>
      <w:r w:rsidRPr="00323A0F">
        <w:rPr>
          <w:color w:val="0099FF"/>
        </w:rPr>
        <w:t>&gt;&gt;</w:t>
      </w:r>
    </w:p>
    <w:p w14:paraId="7F9BBE9A" w14:textId="77777777" w:rsidR="00FD6372" w:rsidRDefault="00FD6372" w:rsidP="00FD6372">
      <w:r>
        <w:t xml:space="preserve">B2.5 </w:t>
      </w:r>
      <w:r w:rsidRPr="00BF7B34">
        <w:rPr>
          <w:b/>
        </w:rPr>
        <w:t xml:space="preserve">REGISTRY FOR </w:t>
      </w:r>
      <w:r w:rsidRPr="00BF7B34">
        <w:rPr>
          <w:rFonts w:ascii="Courier New" w:hAnsi="Courier New" w:cs="Courier New"/>
          <w:b/>
        </w:rPr>
        <w:t>associationKinds</w:t>
      </w:r>
      <w:r w:rsidRPr="00BF7B34">
        <w:rPr>
          <w:rFonts w:ascii="Courier New" w:hAnsi="Courier New" w:cs="Courier New"/>
        </w:rPr>
        <w:t xml:space="preserve"> </w:t>
      </w:r>
    </w:p>
    <w:p w14:paraId="14EC058C" w14:textId="77777777" w:rsidR="00FD6372" w:rsidRDefault="00FD6372" w:rsidP="00FD6372">
      <w:r>
        <w:t xml:space="preserve">The associationKinds </w:t>
      </w:r>
      <w:r w:rsidRPr="00103881">
        <w:rPr>
          <w:i/>
        </w:rPr>
        <w:t>(&lt;&lt;recommendation specific class name&gt;&gt;—see table &lt;&lt;recommendatikon specific table number&gt;&gt;</w:t>
      </w:r>
      <w:r>
        <w:t xml:space="preserve">) values are registered and maintained in SANA; the registry is located at </w:t>
      </w:r>
    </w:p>
    <w:p w14:paraId="3D9D790B" w14:textId="77777777" w:rsidR="00FD6372" w:rsidRDefault="00FD6372" w:rsidP="00FD6372">
      <w:r>
        <w:t xml:space="preserve">http://sanaregistry.org/r/association_kinds/ </w:t>
      </w:r>
    </w:p>
    <w:p w14:paraId="5D3962C7" w14:textId="77777777" w:rsidR="00FD6372" w:rsidRDefault="00FD6372" w:rsidP="00FD6372">
      <w:r>
        <w:t xml:space="preserve">In accordance with reference </w:t>
      </w:r>
      <w:r w:rsidRPr="00103881">
        <w:rPr>
          <w:i/>
        </w:rPr>
        <w:t xml:space="preserve">&lt;&lt;reference number for CCSDS SANA Registry Management Policy. Issue 1. CCSDS Record (Yellow Book), CCSDS 313.1-Y-1. Washington, D.C.: CCSDS, May 2016  -- this is likely be to </w:t>
      </w:r>
      <w:r w:rsidRPr="00103881">
        <w:rPr>
          <w:i/>
        </w:rPr>
        <w:lastRenderedPageBreak/>
        <w:t>be reference [5] or [6] &gt;&gt;</w:t>
      </w:r>
      <w:r>
        <w:t>, section 3.11 (c), updates to this registry are at the discretion of CCSDS member agencies or registered organizations, via the registered agency or organization representative.</w:t>
      </w:r>
    </w:p>
    <w:p w14:paraId="7D8F4694" w14:textId="77777777" w:rsidR="00FD6372" w:rsidRDefault="00FD6372" w:rsidP="00FD6372"/>
    <w:p w14:paraId="7C93973E" w14:textId="77777777" w:rsidR="00FD6372" w:rsidRDefault="00FD6372" w:rsidP="00FD6372">
      <w:r w:rsidRPr="00323A0F">
        <w:rPr>
          <w:color w:val="0099FF"/>
        </w:rPr>
        <w:t>&lt;&lt;</w:t>
      </w:r>
      <w:r>
        <w:rPr>
          <w:color w:val="0099FF"/>
        </w:rPr>
        <w:t>Include the following verbatim, unless there is no schema defined by your book&gt;&gt;</w:t>
      </w:r>
    </w:p>
    <w:p w14:paraId="451E32EA" w14:textId="77777777" w:rsidR="00FD6372" w:rsidRDefault="00FD6372" w:rsidP="00FD6372">
      <w:r>
        <w:t xml:space="preserve">B2.6 </w:t>
      </w:r>
      <w:r w:rsidRPr="00103881">
        <w:rPr>
          <w:b/>
        </w:rPr>
        <w:t>REGISTRY FOR XML Schema</w:t>
      </w:r>
      <w:r>
        <w:t xml:space="preserve"> </w:t>
      </w:r>
    </w:p>
    <w:p w14:paraId="32940B8F" w14:textId="77777777" w:rsidR="00FD6372" w:rsidRDefault="00FD6372" w:rsidP="00FD6372">
      <w:r>
        <w:t xml:space="preserve">The XML Schema for this recommended standards is registered with SANA and is located at </w:t>
      </w:r>
    </w:p>
    <w:p w14:paraId="748C2A8A" w14:textId="77777777" w:rsidR="00FD6372" w:rsidRDefault="00FD6372" w:rsidP="00FD6372">
      <w:r>
        <w:t xml:space="preserve">http://sanaregistry.org/r/service_management_xml_schemas/ </w:t>
      </w:r>
    </w:p>
    <w:p w14:paraId="4048D5D0" w14:textId="77777777" w:rsidR="00FD6372" w:rsidRDefault="00FD6372" w:rsidP="00FD6372">
      <w:r>
        <w:t xml:space="preserve">Per reference </w:t>
      </w:r>
      <w:r w:rsidRPr="00103881">
        <w:rPr>
          <w:i/>
        </w:rPr>
        <w:t>[&lt;&lt;proper reference number for reference to CCSDS 313.1-Y-1&gt;&gt;</w:t>
      </w:r>
      <w:r>
        <w:t xml:space="preserve">], updates of this type of registry are performed by CCSDS. </w:t>
      </w:r>
    </w:p>
    <w:p w14:paraId="453F52C5" w14:textId="77777777" w:rsidR="00FD6372" w:rsidRDefault="00FD6372" w:rsidP="00FD6372"/>
    <w:p w14:paraId="295730FA" w14:textId="77777777" w:rsidR="00FD6372" w:rsidRDefault="00FD6372" w:rsidP="00FD6372"/>
    <w:p w14:paraId="10FE9F65" w14:textId="77777777" w:rsidR="00FD6372" w:rsidRDefault="00FD6372" w:rsidP="00FD6372">
      <w:r w:rsidRPr="00323A0F">
        <w:rPr>
          <w:color w:val="0099FF"/>
        </w:rPr>
        <w:t>&lt;&lt;</w:t>
      </w:r>
      <w:r>
        <w:rPr>
          <w:color w:val="0099FF"/>
        </w:rPr>
        <w:t>Include the following verbatim&gt;&gt;</w:t>
      </w:r>
    </w:p>
    <w:p w14:paraId="13359E7D" w14:textId="77777777" w:rsidR="00FD6372" w:rsidRDefault="00FD6372" w:rsidP="00FD6372">
      <w:r>
        <w:t xml:space="preserve">B2.6 </w:t>
      </w:r>
      <w:r w:rsidRPr="00C170A3">
        <w:rPr>
          <w:b/>
        </w:rPr>
        <w:t>REGISTRY FOR EXTENDED PARAMETER</w:t>
      </w:r>
      <w:r>
        <w:t xml:space="preserve"> </w:t>
      </w:r>
    </w:p>
    <w:p w14:paraId="0B0DEF1D" w14:textId="77777777" w:rsidR="00FD6372" w:rsidRDefault="00FD6372" w:rsidP="00FD6372">
      <w:r>
        <w:t xml:space="preserve">See  </w:t>
      </w:r>
      <w:commentRangeStart w:id="1"/>
      <w:r>
        <w:t>CCSDS 902.13</w:t>
      </w:r>
      <w:commentRangeEnd w:id="1"/>
      <w:r>
        <w:rPr>
          <w:rStyle w:val="CommentReference"/>
        </w:rPr>
        <w:commentReference w:id="1"/>
      </w:r>
      <w:r>
        <w:t>, Annex A, Section A.2.2</w:t>
      </w:r>
    </w:p>
    <w:p w14:paraId="309AECE0" w14:textId="77777777" w:rsidR="00FD6372" w:rsidRDefault="00FD6372" w:rsidP="00FD6372"/>
    <w:p w14:paraId="427E0FD6" w14:textId="77777777" w:rsidR="00FD6372" w:rsidRDefault="00FD6372" w:rsidP="00FD6372"/>
    <w:p w14:paraId="79326300" w14:textId="77777777" w:rsidR="00FD6372" w:rsidRDefault="00FD6372" w:rsidP="00FD6372">
      <w:r w:rsidRPr="00323A0F">
        <w:rPr>
          <w:color w:val="0099FF"/>
        </w:rPr>
        <w:t>&lt;&lt;</w:t>
      </w:r>
      <w:r>
        <w:rPr>
          <w:color w:val="0099FF"/>
        </w:rPr>
        <w:t xml:space="preserve">Unregistered values applies to originatingOrganization, user, and apertureRef&gt;&gt;  </w:t>
      </w:r>
    </w:p>
    <w:p w14:paraId="1D0CE42C" w14:textId="77777777" w:rsidR="00FD6372" w:rsidRDefault="00FD6372" w:rsidP="00FD6372">
      <w:r>
        <w:t xml:space="preserve">B2.7 </w:t>
      </w:r>
      <w:r w:rsidRPr="002B4D6C">
        <w:rPr>
          <w:b/>
        </w:rPr>
        <w:t>USE OF UNREGISTERED VALUES</w:t>
      </w:r>
      <w:r>
        <w:t xml:space="preserve"> </w:t>
      </w:r>
    </w:p>
    <w:p w14:paraId="129A387D" w14:textId="77777777" w:rsidR="00FD6372" w:rsidRDefault="00FD6372" w:rsidP="00FD6372">
      <w:r w:rsidRPr="00323A0F">
        <w:rPr>
          <w:color w:val="0099FF"/>
        </w:rPr>
        <w:t>&lt;&lt;</w:t>
      </w:r>
      <w:r>
        <w:rPr>
          <w:color w:val="0099FF"/>
        </w:rPr>
        <w:t xml:space="preserve">Unregistered values applies to originatingOrganization, user, and apertureRef; if your recommendation makes use of all three of these items, then include the text immediately below verbatim&gt;&gt;  </w:t>
      </w:r>
    </w:p>
    <w:p w14:paraId="4175D858" w14:textId="77777777" w:rsidR="00FD6372" w:rsidRDefault="00FD6372" w:rsidP="00FD6372">
      <w:r>
        <w:t>See  CCSDS 902.12, Annex A, Section A.2.5</w:t>
      </w:r>
    </w:p>
    <w:p w14:paraId="60F98601" w14:textId="77777777" w:rsidR="00FD6372" w:rsidRDefault="00FD6372" w:rsidP="00FD6372">
      <w:pPr>
        <w:rPr>
          <w:color w:val="0099FF"/>
        </w:rPr>
      </w:pPr>
      <w:r w:rsidRPr="00323A0F">
        <w:rPr>
          <w:color w:val="0099FF"/>
        </w:rPr>
        <w:t>&lt;&lt;</w:t>
      </w:r>
      <w:r>
        <w:rPr>
          <w:color w:val="0099FF"/>
        </w:rPr>
        <w:t>it is likely that your recommendation makes use of at least originatingOrganization and user; if so but it does not make use of apertureRef, then include the text immediately below verbatim&gt;&gt;</w:t>
      </w:r>
    </w:p>
    <w:p w14:paraId="5F96ACA1" w14:textId="77777777" w:rsidR="00FD6372" w:rsidRDefault="00FD6372" w:rsidP="00FD6372">
      <w:r>
        <w:t xml:space="preserve">See  CCSDS 902.12, Annex A, Section A.2.5. NOTE – for this recommendation apertureRef does not apply. </w:t>
      </w:r>
    </w:p>
    <w:p w14:paraId="32697548" w14:textId="77777777" w:rsidR="00FD6372" w:rsidRDefault="00FD6372" w:rsidP="00FD6372">
      <w:pPr>
        <w:rPr>
          <w:color w:val="0099FF"/>
        </w:rPr>
      </w:pPr>
      <w:r w:rsidRPr="00323A0F">
        <w:rPr>
          <w:color w:val="0099FF"/>
        </w:rPr>
        <w:t>&lt;&lt;</w:t>
      </w:r>
      <w:r>
        <w:rPr>
          <w:color w:val="0099FF"/>
        </w:rPr>
        <w:t>If your recommendation does not make use of originatingOrganization or user or apertRef, then please include the text below editing as noted&gt;&gt;</w:t>
      </w:r>
    </w:p>
    <w:p w14:paraId="12C50800" w14:textId="77777777" w:rsidR="00FD6372" w:rsidRDefault="00FD6372" w:rsidP="00FD6372">
      <w:r>
        <w:t xml:space="preserve">Only values that have been registered should be used for the </w:t>
      </w:r>
      <w:r w:rsidRPr="00DA6BB7">
        <w:rPr>
          <w:rFonts w:ascii="Courier New" w:hAnsi="Courier New" w:cs="Courier New"/>
          <w:i/>
        </w:rPr>
        <w:t>&lt;&lt;list of appropriate parameters&gt;&gt;</w:t>
      </w:r>
      <w:r>
        <w:rPr>
          <w:rFonts w:ascii="Courier New" w:hAnsi="Courier New" w:cs="Courier New"/>
        </w:rPr>
        <w:t xml:space="preserve"> </w:t>
      </w:r>
      <w:r>
        <w:t xml:space="preserve">parameters.  Unregistered values for the </w:t>
      </w:r>
      <w:r w:rsidRPr="00DA6BB7">
        <w:rPr>
          <w:rFonts w:ascii="Courier New" w:hAnsi="Courier New" w:cs="Courier New"/>
          <w:i/>
        </w:rPr>
        <w:t>&lt;&lt;list of appropriate parameters&gt;&gt;</w:t>
      </w:r>
      <w:r>
        <w:t xml:space="preserve"> parameters may be used. If unregistered values are used they should be prefixed with the string ‘UNR::’.</w:t>
      </w:r>
    </w:p>
    <w:p w14:paraId="2BD0AE5C" w14:textId="77777777" w:rsidR="00FD6372" w:rsidRDefault="00FD6372" w:rsidP="00FD6372">
      <w:pPr>
        <w:pStyle w:val="Notelevel1"/>
      </w:pPr>
      <w:r>
        <w:lastRenderedPageBreak/>
        <w:t>NOTES</w:t>
      </w:r>
    </w:p>
    <w:p w14:paraId="7FBDC866" w14:textId="77777777" w:rsidR="00FD6372" w:rsidRDefault="00FD6372" w:rsidP="00FD6372">
      <w:pPr>
        <w:pStyle w:val="Noteslevel1"/>
        <w:numPr>
          <w:ilvl w:val="0"/>
          <w:numId w:val="30"/>
        </w:numPr>
      </w:pPr>
      <w:r>
        <w:t>‘UNR::’  indicates an unregistered value;</w:t>
      </w:r>
    </w:p>
    <w:p w14:paraId="2EBDEE1D" w14:textId="77777777" w:rsidR="00FD6372" w:rsidRDefault="00FD6372" w:rsidP="00FD6372">
      <w:pPr>
        <w:pStyle w:val="Noteslevel1"/>
        <w:numPr>
          <w:ilvl w:val="0"/>
          <w:numId w:val="30"/>
        </w:numPr>
      </w:pPr>
      <w:r>
        <w:t>this helps eliminate potential confusion in a multi-agency cross support context;</w:t>
      </w:r>
    </w:p>
    <w:p w14:paraId="47648828" w14:textId="77777777" w:rsidR="00FD6372" w:rsidRDefault="00FD6372" w:rsidP="00FD6372">
      <w:pPr>
        <w:pStyle w:val="Noteslevel1"/>
        <w:numPr>
          <w:ilvl w:val="0"/>
          <w:numId w:val="30"/>
        </w:numPr>
      </w:pPr>
      <w:r>
        <w:t>use of unregistered values is not recommended and should be avoided if possible.</w:t>
      </w:r>
    </w:p>
    <w:p w14:paraId="76C83427" w14:textId="77777777" w:rsidR="00FD6372" w:rsidRDefault="00FD6372" w:rsidP="00A3352A"/>
    <w:p w14:paraId="7985C343" w14:textId="77777777" w:rsidR="00FD6372" w:rsidRDefault="00FD6372" w:rsidP="00A3352A"/>
    <w:p w14:paraId="1BA0CE5D" w14:textId="77777777" w:rsidR="00FD6372" w:rsidRPr="00A3352A" w:rsidRDefault="00FD6372" w:rsidP="00A3352A"/>
    <w:p w14:paraId="0319845B" w14:textId="77777777" w:rsidR="00A3352A" w:rsidRDefault="00A3352A" w:rsidP="00A3352A">
      <w:pPr>
        <w:keepNext/>
      </w:pPr>
    </w:p>
    <w:p w14:paraId="04F73DE0" w14:textId="77777777" w:rsidR="00A3352A" w:rsidRDefault="00A3352A" w:rsidP="00314111"/>
    <w:p w14:paraId="1C0D714D" w14:textId="77777777" w:rsidR="00A3352A" w:rsidRDefault="00A3352A" w:rsidP="00314111"/>
    <w:p w14:paraId="4AC066E9" w14:textId="77777777" w:rsidR="00A3352A" w:rsidRDefault="00A3352A" w:rsidP="00A3352A">
      <w:pPr>
        <w:keepNext/>
      </w:pPr>
    </w:p>
    <w:p w14:paraId="5238E255" w14:textId="77777777" w:rsidR="00A3352A" w:rsidRDefault="00A3352A" w:rsidP="00A3352A"/>
    <w:p w14:paraId="6B4FA567" w14:textId="77777777" w:rsidR="00A3352A" w:rsidRDefault="00A3352A" w:rsidP="00A3352A"/>
    <w:p w14:paraId="6989480B" w14:textId="77777777" w:rsidR="00A3352A" w:rsidRDefault="00A3352A" w:rsidP="00A3352A">
      <w:pPr>
        <w:keepNext/>
      </w:pPr>
    </w:p>
    <w:p w14:paraId="529DAFED" w14:textId="77777777" w:rsidR="00A3352A" w:rsidRPr="00A3352A" w:rsidRDefault="00A3352A" w:rsidP="00A3352A">
      <w:pPr>
        <w:pStyle w:val="Caption"/>
      </w:pPr>
    </w:p>
    <w:p w14:paraId="06730073" w14:textId="77777777" w:rsidR="004D731C" w:rsidRDefault="004D731C" w:rsidP="00D278D5"/>
    <w:sectPr w:rsidR="004D73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kley, Erik J (3970)" w:date="2019-06-03T16:51:00Z" w:initials="BEJ">
    <w:p w14:paraId="3F5923C8" w14:textId="77777777" w:rsidR="00FD6372" w:rsidRDefault="00FD6372" w:rsidP="00FD6372">
      <w:pPr>
        <w:pStyle w:val="CommentText"/>
      </w:pPr>
      <w:r>
        <w:rPr>
          <w:rStyle w:val="CommentReference"/>
        </w:rPr>
        <w:annotationRef/>
      </w:r>
      <w:r>
        <w:t>Thnis may trip some people up – 902.13 vs 902.12 earlier; it is correct; in affect the abstrace event governs the extended parameter.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5923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3CD9E" w14:textId="77777777" w:rsidR="008D5C08" w:rsidRDefault="008D5C08" w:rsidP="00B12564">
      <w:pPr>
        <w:spacing w:after="0" w:line="240" w:lineRule="auto"/>
      </w:pPr>
      <w:r>
        <w:separator/>
      </w:r>
    </w:p>
  </w:endnote>
  <w:endnote w:type="continuationSeparator" w:id="0">
    <w:p w14:paraId="6EA1AD3D" w14:textId="77777777" w:rsidR="008D5C08" w:rsidRDefault="008D5C08"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6AD8" w14:textId="77777777" w:rsidR="008D5C08" w:rsidRDefault="008D5C08" w:rsidP="00B12564">
      <w:pPr>
        <w:spacing w:after="0" w:line="240" w:lineRule="auto"/>
      </w:pPr>
      <w:r>
        <w:separator/>
      </w:r>
    </w:p>
  </w:footnote>
  <w:footnote w:type="continuationSeparator" w:id="0">
    <w:p w14:paraId="6AD081ED" w14:textId="77777777" w:rsidR="008D5C08" w:rsidRDefault="008D5C08"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9D"/>
    <w:multiLevelType w:val="hybridMultilevel"/>
    <w:tmpl w:val="8654C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FDB"/>
    <w:multiLevelType w:val="hybridMultilevel"/>
    <w:tmpl w:val="184A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4B74"/>
    <w:multiLevelType w:val="hybridMultilevel"/>
    <w:tmpl w:val="4CBAEF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739B"/>
    <w:multiLevelType w:val="hybridMultilevel"/>
    <w:tmpl w:val="B2F60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0D88"/>
    <w:multiLevelType w:val="hybridMultilevel"/>
    <w:tmpl w:val="D1681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179C6"/>
    <w:multiLevelType w:val="hybridMultilevel"/>
    <w:tmpl w:val="E18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26A59"/>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F57C7"/>
    <w:multiLevelType w:val="hybridMultilevel"/>
    <w:tmpl w:val="EBA0F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672F1"/>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C6B83"/>
    <w:multiLevelType w:val="hybridMultilevel"/>
    <w:tmpl w:val="B274B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6016F"/>
    <w:multiLevelType w:val="singleLevel"/>
    <w:tmpl w:val="6472E1FE"/>
    <w:lvl w:ilvl="0">
      <w:start w:val="1"/>
      <w:numFmt w:val="decimal"/>
      <w:lvlText w:val="%1"/>
      <w:lvlJc w:val="left"/>
      <w:pPr>
        <w:tabs>
          <w:tab w:val="num" w:pos="720"/>
        </w:tabs>
        <w:ind w:left="720" w:hanging="720"/>
      </w:pPr>
    </w:lvl>
  </w:abstractNum>
  <w:abstractNum w:abstractNumId="11" w15:restartNumberingAfterBreak="0">
    <w:nsid w:val="3D292025"/>
    <w:multiLevelType w:val="hybridMultilevel"/>
    <w:tmpl w:val="C5D66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F2DF2"/>
    <w:multiLevelType w:val="hybridMultilevel"/>
    <w:tmpl w:val="2D8472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96AE3"/>
    <w:multiLevelType w:val="hybridMultilevel"/>
    <w:tmpl w:val="5BD0A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F4DD3"/>
    <w:multiLevelType w:val="hybridMultilevel"/>
    <w:tmpl w:val="1802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11431"/>
    <w:multiLevelType w:val="hybridMultilevel"/>
    <w:tmpl w:val="B4DA8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A4901"/>
    <w:multiLevelType w:val="hybridMultilevel"/>
    <w:tmpl w:val="C97896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C2324"/>
    <w:multiLevelType w:val="hybridMultilevel"/>
    <w:tmpl w:val="D1F41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41055"/>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32956"/>
    <w:multiLevelType w:val="hybridMultilevel"/>
    <w:tmpl w:val="322C0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47BDE"/>
    <w:multiLevelType w:val="hybridMultilevel"/>
    <w:tmpl w:val="D2441F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0EA9"/>
    <w:multiLevelType w:val="hybridMultilevel"/>
    <w:tmpl w:val="138063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1138D"/>
    <w:multiLevelType w:val="hybridMultilevel"/>
    <w:tmpl w:val="863623FC"/>
    <w:lvl w:ilvl="0" w:tplc="66925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6760B"/>
    <w:multiLevelType w:val="hybridMultilevel"/>
    <w:tmpl w:val="7D64EC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B5F63"/>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A66C5"/>
    <w:multiLevelType w:val="hybridMultilevel"/>
    <w:tmpl w:val="2A8825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B54BC"/>
    <w:multiLevelType w:val="hybridMultilevel"/>
    <w:tmpl w:val="5BAAD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83F75"/>
    <w:multiLevelType w:val="hybridMultilevel"/>
    <w:tmpl w:val="7ED2A2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1C32"/>
    <w:multiLevelType w:val="hybridMultilevel"/>
    <w:tmpl w:val="7E286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242D8"/>
    <w:multiLevelType w:val="hybridMultilevel"/>
    <w:tmpl w:val="78B68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A217A"/>
    <w:multiLevelType w:val="hybridMultilevel"/>
    <w:tmpl w:val="D7A09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85CED"/>
    <w:multiLevelType w:val="hybridMultilevel"/>
    <w:tmpl w:val="3B605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53210"/>
    <w:multiLevelType w:val="hybridMultilevel"/>
    <w:tmpl w:val="54F83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C68BF"/>
    <w:multiLevelType w:val="hybridMultilevel"/>
    <w:tmpl w:val="E1867E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26"/>
  </w:num>
  <w:num w:numId="4">
    <w:abstractNumId w:val="25"/>
  </w:num>
  <w:num w:numId="5">
    <w:abstractNumId w:val="15"/>
  </w:num>
  <w:num w:numId="6">
    <w:abstractNumId w:val="16"/>
  </w:num>
  <w:num w:numId="7">
    <w:abstractNumId w:val="14"/>
  </w:num>
  <w:num w:numId="8">
    <w:abstractNumId w:val="6"/>
  </w:num>
  <w:num w:numId="9">
    <w:abstractNumId w:val="34"/>
  </w:num>
  <w:num w:numId="10">
    <w:abstractNumId w:val="18"/>
  </w:num>
  <w:num w:numId="11">
    <w:abstractNumId w:val="8"/>
  </w:num>
  <w:num w:numId="12">
    <w:abstractNumId w:val="24"/>
  </w:num>
  <w:num w:numId="13">
    <w:abstractNumId w:val="12"/>
  </w:num>
  <w:num w:numId="14">
    <w:abstractNumId w:val="32"/>
  </w:num>
  <w:num w:numId="15">
    <w:abstractNumId w:val="33"/>
  </w:num>
  <w:num w:numId="16">
    <w:abstractNumId w:val="11"/>
  </w:num>
  <w:num w:numId="17">
    <w:abstractNumId w:val="23"/>
  </w:num>
  <w:num w:numId="18">
    <w:abstractNumId w:val="20"/>
  </w:num>
  <w:num w:numId="19">
    <w:abstractNumId w:val="17"/>
  </w:num>
  <w:num w:numId="20">
    <w:abstractNumId w:val="2"/>
  </w:num>
  <w:num w:numId="21">
    <w:abstractNumId w:val="3"/>
  </w:num>
  <w:num w:numId="22">
    <w:abstractNumId w:val="1"/>
  </w:num>
  <w:num w:numId="23">
    <w:abstractNumId w:val="27"/>
  </w:num>
  <w:num w:numId="24">
    <w:abstractNumId w:val="30"/>
  </w:num>
  <w:num w:numId="25">
    <w:abstractNumId w:val="7"/>
  </w:num>
  <w:num w:numId="26">
    <w:abstractNumId w:val="21"/>
  </w:num>
  <w:num w:numId="27">
    <w:abstractNumId w:val="4"/>
  </w:num>
  <w:num w:numId="28">
    <w:abstractNumId w:val="19"/>
  </w:num>
  <w:num w:numId="29">
    <w:abstractNumId w:val="0"/>
  </w:num>
  <w:num w:numId="30">
    <w:abstractNumId w:val="10"/>
    <w:lvlOverride w:ilvl="0">
      <w:startOverride w:val="1"/>
    </w:lvlOverride>
  </w:num>
  <w:num w:numId="31">
    <w:abstractNumId w:val="22"/>
  </w:num>
  <w:num w:numId="32">
    <w:abstractNumId w:val="28"/>
  </w:num>
  <w:num w:numId="33">
    <w:abstractNumId w:val="31"/>
  </w:num>
  <w:num w:numId="34">
    <w:abstractNumId w:val="13"/>
  </w:num>
  <w:num w:numId="3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ley, Erik J (3970)">
    <w15:presenceInfo w15:providerId="None" w15:userId="Barkley, Erik J (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792DE5-FA68-4E12-98D2-FE8E17C47E08}"/>
    <w:docVar w:name="dgnword-eventsink" w:val="512853576"/>
  </w:docVars>
  <w:rsids>
    <w:rsidRoot w:val="00C3228F"/>
    <w:rsid w:val="00002A46"/>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47A"/>
    <w:rsid w:val="00067139"/>
    <w:rsid w:val="00074F06"/>
    <w:rsid w:val="00074F82"/>
    <w:rsid w:val="000778C8"/>
    <w:rsid w:val="00077C45"/>
    <w:rsid w:val="00081A86"/>
    <w:rsid w:val="00092F5F"/>
    <w:rsid w:val="000B5348"/>
    <w:rsid w:val="000B5783"/>
    <w:rsid w:val="000B6BC1"/>
    <w:rsid w:val="000C100C"/>
    <w:rsid w:val="000C36E7"/>
    <w:rsid w:val="000C72BF"/>
    <w:rsid w:val="000D1717"/>
    <w:rsid w:val="000E2A3B"/>
    <w:rsid w:val="000F67A2"/>
    <w:rsid w:val="000F6898"/>
    <w:rsid w:val="000F7125"/>
    <w:rsid w:val="001016EF"/>
    <w:rsid w:val="0011018B"/>
    <w:rsid w:val="00114208"/>
    <w:rsid w:val="00115E39"/>
    <w:rsid w:val="00120797"/>
    <w:rsid w:val="00124EA1"/>
    <w:rsid w:val="0012507F"/>
    <w:rsid w:val="001301C3"/>
    <w:rsid w:val="00132601"/>
    <w:rsid w:val="00133A2A"/>
    <w:rsid w:val="0013698D"/>
    <w:rsid w:val="00154DED"/>
    <w:rsid w:val="00160652"/>
    <w:rsid w:val="001707F5"/>
    <w:rsid w:val="001709C5"/>
    <w:rsid w:val="001767FD"/>
    <w:rsid w:val="00184B14"/>
    <w:rsid w:val="0018758B"/>
    <w:rsid w:val="00191724"/>
    <w:rsid w:val="00191EDF"/>
    <w:rsid w:val="001931A2"/>
    <w:rsid w:val="00196CDE"/>
    <w:rsid w:val="001A7744"/>
    <w:rsid w:val="001C2B8B"/>
    <w:rsid w:val="001C3BEA"/>
    <w:rsid w:val="001D2AA6"/>
    <w:rsid w:val="001D68A6"/>
    <w:rsid w:val="001E01E2"/>
    <w:rsid w:val="001F1C70"/>
    <w:rsid w:val="002024D4"/>
    <w:rsid w:val="00203B19"/>
    <w:rsid w:val="00205328"/>
    <w:rsid w:val="00206650"/>
    <w:rsid w:val="002077D2"/>
    <w:rsid w:val="00207D3E"/>
    <w:rsid w:val="00210384"/>
    <w:rsid w:val="00213185"/>
    <w:rsid w:val="002144CD"/>
    <w:rsid w:val="002156FA"/>
    <w:rsid w:val="00217B83"/>
    <w:rsid w:val="00220478"/>
    <w:rsid w:val="0022052B"/>
    <w:rsid w:val="002224A6"/>
    <w:rsid w:val="002309BC"/>
    <w:rsid w:val="00235824"/>
    <w:rsid w:val="002429D6"/>
    <w:rsid w:val="0024355D"/>
    <w:rsid w:val="002475C9"/>
    <w:rsid w:val="002501C7"/>
    <w:rsid w:val="00253647"/>
    <w:rsid w:val="002537A2"/>
    <w:rsid w:val="00257E10"/>
    <w:rsid w:val="00270E4D"/>
    <w:rsid w:val="00274006"/>
    <w:rsid w:val="00275F4B"/>
    <w:rsid w:val="0027703F"/>
    <w:rsid w:val="002879D6"/>
    <w:rsid w:val="00290945"/>
    <w:rsid w:val="002923FF"/>
    <w:rsid w:val="0029379C"/>
    <w:rsid w:val="00293A40"/>
    <w:rsid w:val="002A7D20"/>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E16"/>
    <w:rsid w:val="0030498A"/>
    <w:rsid w:val="00314111"/>
    <w:rsid w:val="003148B1"/>
    <w:rsid w:val="00327253"/>
    <w:rsid w:val="003305D2"/>
    <w:rsid w:val="00330DCA"/>
    <w:rsid w:val="00331030"/>
    <w:rsid w:val="00335289"/>
    <w:rsid w:val="003441E6"/>
    <w:rsid w:val="003450A5"/>
    <w:rsid w:val="00347688"/>
    <w:rsid w:val="00352B0D"/>
    <w:rsid w:val="00363F12"/>
    <w:rsid w:val="003731CF"/>
    <w:rsid w:val="00376B0E"/>
    <w:rsid w:val="00385BC7"/>
    <w:rsid w:val="00393D65"/>
    <w:rsid w:val="00396C00"/>
    <w:rsid w:val="003A2200"/>
    <w:rsid w:val="003A5606"/>
    <w:rsid w:val="003B090B"/>
    <w:rsid w:val="003B3BF0"/>
    <w:rsid w:val="003C0705"/>
    <w:rsid w:val="003C453E"/>
    <w:rsid w:val="003C4C79"/>
    <w:rsid w:val="003C599F"/>
    <w:rsid w:val="003C73B0"/>
    <w:rsid w:val="003D4EBE"/>
    <w:rsid w:val="003E270D"/>
    <w:rsid w:val="003E5701"/>
    <w:rsid w:val="003F1205"/>
    <w:rsid w:val="00402728"/>
    <w:rsid w:val="00414658"/>
    <w:rsid w:val="004157F8"/>
    <w:rsid w:val="00416046"/>
    <w:rsid w:val="00417959"/>
    <w:rsid w:val="004228F1"/>
    <w:rsid w:val="00422A16"/>
    <w:rsid w:val="00424C9D"/>
    <w:rsid w:val="004377C0"/>
    <w:rsid w:val="00442BE1"/>
    <w:rsid w:val="004562F0"/>
    <w:rsid w:val="004636F3"/>
    <w:rsid w:val="00466BFD"/>
    <w:rsid w:val="00470F95"/>
    <w:rsid w:val="00482465"/>
    <w:rsid w:val="00484532"/>
    <w:rsid w:val="004845D8"/>
    <w:rsid w:val="00487821"/>
    <w:rsid w:val="0049236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5F2D"/>
    <w:rsid w:val="004E7652"/>
    <w:rsid w:val="004F7240"/>
    <w:rsid w:val="00502499"/>
    <w:rsid w:val="0050557E"/>
    <w:rsid w:val="0051173A"/>
    <w:rsid w:val="00515E33"/>
    <w:rsid w:val="0052739B"/>
    <w:rsid w:val="00540ACD"/>
    <w:rsid w:val="005418A3"/>
    <w:rsid w:val="00541EB8"/>
    <w:rsid w:val="005478E1"/>
    <w:rsid w:val="00553451"/>
    <w:rsid w:val="00555F7C"/>
    <w:rsid w:val="0055626C"/>
    <w:rsid w:val="00561944"/>
    <w:rsid w:val="005665E7"/>
    <w:rsid w:val="00570623"/>
    <w:rsid w:val="0057124A"/>
    <w:rsid w:val="005776CA"/>
    <w:rsid w:val="00584A97"/>
    <w:rsid w:val="00594758"/>
    <w:rsid w:val="00594EEE"/>
    <w:rsid w:val="00596195"/>
    <w:rsid w:val="005A1997"/>
    <w:rsid w:val="005A266A"/>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3634"/>
    <w:rsid w:val="00615FE4"/>
    <w:rsid w:val="00616E8C"/>
    <w:rsid w:val="00616F2C"/>
    <w:rsid w:val="00630A2B"/>
    <w:rsid w:val="00633779"/>
    <w:rsid w:val="00633A17"/>
    <w:rsid w:val="00633F3A"/>
    <w:rsid w:val="00640302"/>
    <w:rsid w:val="00645A08"/>
    <w:rsid w:val="00665813"/>
    <w:rsid w:val="00665F77"/>
    <w:rsid w:val="00671082"/>
    <w:rsid w:val="006728F6"/>
    <w:rsid w:val="00672FD2"/>
    <w:rsid w:val="00680CE7"/>
    <w:rsid w:val="0068242F"/>
    <w:rsid w:val="00684D4F"/>
    <w:rsid w:val="00687D1D"/>
    <w:rsid w:val="00690F8B"/>
    <w:rsid w:val="00693195"/>
    <w:rsid w:val="00693795"/>
    <w:rsid w:val="0069714E"/>
    <w:rsid w:val="006A5062"/>
    <w:rsid w:val="006B1C97"/>
    <w:rsid w:val="006B46BA"/>
    <w:rsid w:val="006C18D4"/>
    <w:rsid w:val="006C54A9"/>
    <w:rsid w:val="006C6DD4"/>
    <w:rsid w:val="006D1D96"/>
    <w:rsid w:val="006D27A1"/>
    <w:rsid w:val="006E023E"/>
    <w:rsid w:val="006E45C4"/>
    <w:rsid w:val="006F17C6"/>
    <w:rsid w:val="006F2694"/>
    <w:rsid w:val="007001BD"/>
    <w:rsid w:val="0070114F"/>
    <w:rsid w:val="007018DB"/>
    <w:rsid w:val="007100E5"/>
    <w:rsid w:val="007109B7"/>
    <w:rsid w:val="007122C5"/>
    <w:rsid w:val="00713F30"/>
    <w:rsid w:val="00720B68"/>
    <w:rsid w:val="00725006"/>
    <w:rsid w:val="0074036F"/>
    <w:rsid w:val="0074270D"/>
    <w:rsid w:val="00744B2F"/>
    <w:rsid w:val="00754C36"/>
    <w:rsid w:val="0076440B"/>
    <w:rsid w:val="007670DD"/>
    <w:rsid w:val="00767730"/>
    <w:rsid w:val="00771F57"/>
    <w:rsid w:val="00773606"/>
    <w:rsid w:val="00780168"/>
    <w:rsid w:val="00784B0E"/>
    <w:rsid w:val="00790BEE"/>
    <w:rsid w:val="00794AE8"/>
    <w:rsid w:val="00797390"/>
    <w:rsid w:val="007A0109"/>
    <w:rsid w:val="007A4221"/>
    <w:rsid w:val="007B0DBB"/>
    <w:rsid w:val="007B46B5"/>
    <w:rsid w:val="007B59D2"/>
    <w:rsid w:val="007C05F0"/>
    <w:rsid w:val="007D3891"/>
    <w:rsid w:val="007F2DEB"/>
    <w:rsid w:val="007F54B2"/>
    <w:rsid w:val="007F6F65"/>
    <w:rsid w:val="00801A91"/>
    <w:rsid w:val="00804694"/>
    <w:rsid w:val="00807EAE"/>
    <w:rsid w:val="008204AD"/>
    <w:rsid w:val="008232FB"/>
    <w:rsid w:val="00823F0C"/>
    <w:rsid w:val="008245D4"/>
    <w:rsid w:val="00831DFD"/>
    <w:rsid w:val="00832752"/>
    <w:rsid w:val="00832FBB"/>
    <w:rsid w:val="008379BB"/>
    <w:rsid w:val="00837BF8"/>
    <w:rsid w:val="00854EA4"/>
    <w:rsid w:val="008552F9"/>
    <w:rsid w:val="008574D6"/>
    <w:rsid w:val="00860CAC"/>
    <w:rsid w:val="00863A0D"/>
    <w:rsid w:val="00865C61"/>
    <w:rsid w:val="008707B2"/>
    <w:rsid w:val="00883034"/>
    <w:rsid w:val="00891090"/>
    <w:rsid w:val="00893AE7"/>
    <w:rsid w:val="008945E5"/>
    <w:rsid w:val="008A1B1F"/>
    <w:rsid w:val="008A2C16"/>
    <w:rsid w:val="008A3585"/>
    <w:rsid w:val="008A3639"/>
    <w:rsid w:val="008A44FC"/>
    <w:rsid w:val="008A70E9"/>
    <w:rsid w:val="008B69B4"/>
    <w:rsid w:val="008C20DE"/>
    <w:rsid w:val="008D15D2"/>
    <w:rsid w:val="008D1A7B"/>
    <w:rsid w:val="008D1B74"/>
    <w:rsid w:val="008D41EA"/>
    <w:rsid w:val="008D5C08"/>
    <w:rsid w:val="008E0371"/>
    <w:rsid w:val="008E6E06"/>
    <w:rsid w:val="008F01E8"/>
    <w:rsid w:val="008F4CE7"/>
    <w:rsid w:val="009016F4"/>
    <w:rsid w:val="00904E22"/>
    <w:rsid w:val="009134B6"/>
    <w:rsid w:val="00913D92"/>
    <w:rsid w:val="009147F6"/>
    <w:rsid w:val="00915D36"/>
    <w:rsid w:val="00916453"/>
    <w:rsid w:val="00932F93"/>
    <w:rsid w:val="00937DCA"/>
    <w:rsid w:val="00953647"/>
    <w:rsid w:val="00954287"/>
    <w:rsid w:val="0096123A"/>
    <w:rsid w:val="00972EAA"/>
    <w:rsid w:val="0097471A"/>
    <w:rsid w:val="00974D52"/>
    <w:rsid w:val="00977D9C"/>
    <w:rsid w:val="00985552"/>
    <w:rsid w:val="00987E4A"/>
    <w:rsid w:val="00995CED"/>
    <w:rsid w:val="009962C9"/>
    <w:rsid w:val="009A4D99"/>
    <w:rsid w:val="009A604C"/>
    <w:rsid w:val="009A6ABB"/>
    <w:rsid w:val="009A79B3"/>
    <w:rsid w:val="009B23A9"/>
    <w:rsid w:val="009B3C38"/>
    <w:rsid w:val="009C167E"/>
    <w:rsid w:val="009D5D72"/>
    <w:rsid w:val="009D611E"/>
    <w:rsid w:val="009E2DE7"/>
    <w:rsid w:val="009F0BBA"/>
    <w:rsid w:val="009F23B4"/>
    <w:rsid w:val="009F6630"/>
    <w:rsid w:val="00A049B8"/>
    <w:rsid w:val="00A10A51"/>
    <w:rsid w:val="00A13329"/>
    <w:rsid w:val="00A17160"/>
    <w:rsid w:val="00A20A89"/>
    <w:rsid w:val="00A316C5"/>
    <w:rsid w:val="00A3352A"/>
    <w:rsid w:val="00A4440D"/>
    <w:rsid w:val="00A469F5"/>
    <w:rsid w:val="00A53D56"/>
    <w:rsid w:val="00A55DDF"/>
    <w:rsid w:val="00A6738F"/>
    <w:rsid w:val="00A83188"/>
    <w:rsid w:val="00A96D75"/>
    <w:rsid w:val="00A9704F"/>
    <w:rsid w:val="00AA2155"/>
    <w:rsid w:val="00AB0EE1"/>
    <w:rsid w:val="00AC1B4A"/>
    <w:rsid w:val="00AC36F2"/>
    <w:rsid w:val="00AC3832"/>
    <w:rsid w:val="00AC4574"/>
    <w:rsid w:val="00AC5460"/>
    <w:rsid w:val="00AD1390"/>
    <w:rsid w:val="00AD29DB"/>
    <w:rsid w:val="00AD5822"/>
    <w:rsid w:val="00AD675F"/>
    <w:rsid w:val="00AE212F"/>
    <w:rsid w:val="00AE31D7"/>
    <w:rsid w:val="00AE42FA"/>
    <w:rsid w:val="00AE4E4F"/>
    <w:rsid w:val="00AF0349"/>
    <w:rsid w:val="00AF2A0E"/>
    <w:rsid w:val="00AF2DD1"/>
    <w:rsid w:val="00AF32D7"/>
    <w:rsid w:val="00B00A65"/>
    <w:rsid w:val="00B12564"/>
    <w:rsid w:val="00B14DEA"/>
    <w:rsid w:val="00B30A97"/>
    <w:rsid w:val="00B31F0D"/>
    <w:rsid w:val="00B33512"/>
    <w:rsid w:val="00B3490F"/>
    <w:rsid w:val="00B43A7C"/>
    <w:rsid w:val="00B5068B"/>
    <w:rsid w:val="00B52AD4"/>
    <w:rsid w:val="00B5359C"/>
    <w:rsid w:val="00B5360A"/>
    <w:rsid w:val="00B540C7"/>
    <w:rsid w:val="00B60E35"/>
    <w:rsid w:val="00B7106B"/>
    <w:rsid w:val="00B743F4"/>
    <w:rsid w:val="00B75631"/>
    <w:rsid w:val="00B77C2B"/>
    <w:rsid w:val="00B80977"/>
    <w:rsid w:val="00B8157B"/>
    <w:rsid w:val="00B81ED8"/>
    <w:rsid w:val="00B82591"/>
    <w:rsid w:val="00B84ADA"/>
    <w:rsid w:val="00B84DE3"/>
    <w:rsid w:val="00B90EA0"/>
    <w:rsid w:val="00B94AB2"/>
    <w:rsid w:val="00BA2B91"/>
    <w:rsid w:val="00BA5D1E"/>
    <w:rsid w:val="00BC3B6E"/>
    <w:rsid w:val="00BC6563"/>
    <w:rsid w:val="00BC7876"/>
    <w:rsid w:val="00BD3E82"/>
    <w:rsid w:val="00BD4D86"/>
    <w:rsid w:val="00BE1A50"/>
    <w:rsid w:val="00BE4398"/>
    <w:rsid w:val="00BE5A20"/>
    <w:rsid w:val="00BE723B"/>
    <w:rsid w:val="00BF1E98"/>
    <w:rsid w:val="00C05D4F"/>
    <w:rsid w:val="00C15822"/>
    <w:rsid w:val="00C15C2C"/>
    <w:rsid w:val="00C20C8D"/>
    <w:rsid w:val="00C2107C"/>
    <w:rsid w:val="00C2308E"/>
    <w:rsid w:val="00C24F93"/>
    <w:rsid w:val="00C3132E"/>
    <w:rsid w:val="00C3228F"/>
    <w:rsid w:val="00C343D7"/>
    <w:rsid w:val="00C350CE"/>
    <w:rsid w:val="00C36B9E"/>
    <w:rsid w:val="00C44350"/>
    <w:rsid w:val="00C51BEE"/>
    <w:rsid w:val="00C551D3"/>
    <w:rsid w:val="00C606C5"/>
    <w:rsid w:val="00C61A4A"/>
    <w:rsid w:val="00C624E6"/>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7B43"/>
    <w:rsid w:val="00CE34B5"/>
    <w:rsid w:val="00CE3A60"/>
    <w:rsid w:val="00CE67D5"/>
    <w:rsid w:val="00CF4A0C"/>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B8B"/>
    <w:rsid w:val="00DA57C2"/>
    <w:rsid w:val="00DA6FDD"/>
    <w:rsid w:val="00DB0083"/>
    <w:rsid w:val="00DB3471"/>
    <w:rsid w:val="00DC03D4"/>
    <w:rsid w:val="00DC3576"/>
    <w:rsid w:val="00DC3F49"/>
    <w:rsid w:val="00DC4B52"/>
    <w:rsid w:val="00DC666C"/>
    <w:rsid w:val="00DC6722"/>
    <w:rsid w:val="00DC749A"/>
    <w:rsid w:val="00DD6D30"/>
    <w:rsid w:val="00DF01C3"/>
    <w:rsid w:val="00DF4376"/>
    <w:rsid w:val="00E00E5D"/>
    <w:rsid w:val="00E037AA"/>
    <w:rsid w:val="00E07905"/>
    <w:rsid w:val="00E1407E"/>
    <w:rsid w:val="00E20A42"/>
    <w:rsid w:val="00E27D15"/>
    <w:rsid w:val="00E307AD"/>
    <w:rsid w:val="00E4273E"/>
    <w:rsid w:val="00E446D2"/>
    <w:rsid w:val="00E44B03"/>
    <w:rsid w:val="00E45FEA"/>
    <w:rsid w:val="00E5044D"/>
    <w:rsid w:val="00E53B3B"/>
    <w:rsid w:val="00E64317"/>
    <w:rsid w:val="00E770A1"/>
    <w:rsid w:val="00E86D89"/>
    <w:rsid w:val="00E87EA1"/>
    <w:rsid w:val="00E95E4B"/>
    <w:rsid w:val="00EA58D0"/>
    <w:rsid w:val="00EA6090"/>
    <w:rsid w:val="00EC2D49"/>
    <w:rsid w:val="00EC65F7"/>
    <w:rsid w:val="00ED1CB7"/>
    <w:rsid w:val="00ED2384"/>
    <w:rsid w:val="00ED4710"/>
    <w:rsid w:val="00ED6C16"/>
    <w:rsid w:val="00EE0A10"/>
    <w:rsid w:val="00EF033F"/>
    <w:rsid w:val="00EF5C98"/>
    <w:rsid w:val="00F13788"/>
    <w:rsid w:val="00F14580"/>
    <w:rsid w:val="00F303F8"/>
    <w:rsid w:val="00F43744"/>
    <w:rsid w:val="00F44126"/>
    <w:rsid w:val="00F44651"/>
    <w:rsid w:val="00F44A83"/>
    <w:rsid w:val="00F4678B"/>
    <w:rsid w:val="00F5170E"/>
    <w:rsid w:val="00F60BE7"/>
    <w:rsid w:val="00F71E16"/>
    <w:rsid w:val="00F80C03"/>
    <w:rsid w:val="00F82F0D"/>
    <w:rsid w:val="00F8754E"/>
    <w:rsid w:val="00F93AD7"/>
    <w:rsid w:val="00F96E7B"/>
    <w:rsid w:val="00FA1B8E"/>
    <w:rsid w:val="00FA200D"/>
    <w:rsid w:val="00FA6047"/>
    <w:rsid w:val="00FA6A62"/>
    <w:rsid w:val="00FB06C2"/>
    <w:rsid w:val="00FB0A09"/>
    <w:rsid w:val="00FB0B56"/>
    <w:rsid w:val="00FD6372"/>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467E-BE25-4428-9A9C-609F38A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2019-06-04T00:08:00Z</dcterms:created>
  <dcterms:modified xsi:type="dcterms:W3CDTF">2019-06-04T18:09:00Z</dcterms:modified>
</cp:coreProperties>
</file>