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0778C8">
        <w:t>, 17 October</w:t>
      </w:r>
      <w:r w:rsidR="008707B2">
        <w:t xml:space="preserve"> 2017</w:t>
      </w:r>
    </w:p>
    <w:p w:rsidR="00A96D75" w:rsidRDefault="00DF4376" w:rsidP="008F01E8">
      <w:pPr>
        <w:pStyle w:val="Heading1"/>
      </w:pPr>
      <w:r>
        <w:t>Attendees</w:t>
      </w:r>
    </w:p>
    <w:p w:rsidR="0068242F" w:rsidRPr="0068242F" w:rsidRDefault="0068242F" w:rsidP="0068242F">
      <w:r>
        <w:t xml:space="preserve">E. Barkley, </w:t>
      </w:r>
      <w:r w:rsidR="00893AE7">
        <w:t xml:space="preserve">J. Chamoun, C. Ciocirlan, A. Crowson, H. Dreihahn, W. Eddy, M. Gnat, C. Haddow, H. Kelliher, </w:t>
      </w:r>
      <w:r w:rsidR="00893AE7">
        <w:t xml:space="preserve">H. Li,  </w:t>
      </w:r>
      <w:r w:rsidR="00893AE7">
        <w:t>T. Pham, J. Pietras, Y. Wang</w:t>
      </w:r>
    </w:p>
    <w:p w:rsidR="00BC7876" w:rsidRDefault="00C3228F" w:rsidP="00013287">
      <w:pPr>
        <w:pStyle w:val="Heading1"/>
      </w:pPr>
      <w:r>
        <w:t>Agenda</w:t>
      </w:r>
      <w:r w:rsidR="00C36B9E">
        <w:t>/Notes</w:t>
      </w:r>
      <w:r w:rsidR="00124EA1">
        <w:t xml:space="preserve"> </w:t>
      </w:r>
      <w:r w:rsidR="00AE31D7">
        <w:t>(As adjusted during the telecon)</w:t>
      </w:r>
    </w:p>
    <w:p w:rsidR="008F01E8" w:rsidRDefault="008F01E8" w:rsidP="001C2B8B">
      <w:pPr>
        <w:pStyle w:val="Heading2"/>
        <w:numPr>
          <w:ilvl w:val="0"/>
          <w:numId w:val="30"/>
        </w:numPr>
      </w:pPr>
      <w:r>
        <w:t>General announcements</w:t>
      </w:r>
    </w:p>
    <w:p w:rsidR="008F01E8" w:rsidRDefault="000778C8" w:rsidP="008F01E8">
      <w:pPr>
        <w:pStyle w:val="ListParagraph"/>
        <w:numPr>
          <w:ilvl w:val="0"/>
          <w:numId w:val="24"/>
        </w:numPr>
      </w:pPr>
      <w:r>
        <w:t>Holger Dreihahn confirmed as new CSTS WG Chair, effective 01 January 2018</w:t>
      </w:r>
      <w:r w:rsidR="008F01E8">
        <w:t xml:space="preserve"> </w:t>
      </w:r>
    </w:p>
    <w:p w:rsidR="000778C8" w:rsidRDefault="000778C8" w:rsidP="008F01E8">
      <w:pPr>
        <w:pStyle w:val="ListParagraph"/>
        <w:numPr>
          <w:ilvl w:val="0"/>
          <w:numId w:val="24"/>
        </w:numPr>
      </w:pPr>
      <w:r>
        <w:t xml:space="preserve">CSTS Guidelines book cleared for agency review </w:t>
      </w:r>
    </w:p>
    <w:p w:rsidR="00596195" w:rsidRPr="008F01E8" w:rsidRDefault="00596195" w:rsidP="008F01E8">
      <w:pPr>
        <w:pStyle w:val="ListParagraph"/>
        <w:numPr>
          <w:ilvl w:val="0"/>
          <w:numId w:val="24"/>
        </w:numPr>
      </w:pPr>
      <w:r>
        <w:t>TD-CSTS agency review concluding in about 2 weeks</w:t>
      </w:r>
      <w:r w:rsidR="00893AE7">
        <w:t xml:space="preserve"> – time to file RIDs now if you have any </w:t>
      </w:r>
    </w:p>
    <w:p w:rsidR="00AE31D7" w:rsidRDefault="008F01E8" w:rsidP="00AE31D7">
      <w:pPr>
        <w:pStyle w:val="Heading2"/>
        <w:numPr>
          <w:ilvl w:val="0"/>
          <w:numId w:val="30"/>
        </w:numPr>
      </w:pPr>
      <w:r>
        <w:t>Status check re Action items</w:t>
      </w:r>
      <w:r w:rsidR="001C2B8B">
        <w:t xml:space="preserve"> – especially re SSF conclusion</w:t>
      </w:r>
    </w:p>
    <w:p w:rsidR="00AE31D7" w:rsidRDefault="00AE31D7" w:rsidP="00AE31D7">
      <w:pPr>
        <w:pStyle w:val="NoSpacing"/>
        <w:numPr>
          <w:ilvl w:val="0"/>
          <w:numId w:val="33"/>
        </w:numPr>
      </w:pPr>
      <w:r>
        <w:t>Discussed latest proposal to resolving RID SSF-R2-4</w:t>
      </w:r>
    </w:p>
    <w:p w:rsidR="00AE31D7" w:rsidRDefault="00AE31D7" w:rsidP="00AE31D7">
      <w:pPr>
        <w:pStyle w:val="NoSpacing"/>
        <w:numPr>
          <w:ilvl w:val="0"/>
          <w:numId w:val="33"/>
        </w:numPr>
      </w:pPr>
      <w:r>
        <w:t>Agreed that Abstract Event definition can be a technical note, pending further developments (esp re NAVWG project)</w:t>
      </w:r>
    </w:p>
    <w:p w:rsidR="00AE31D7" w:rsidRDefault="00AE31D7" w:rsidP="00AE31D7">
      <w:pPr>
        <w:pStyle w:val="NoSpacing"/>
        <w:numPr>
          <w:ilvl w:val="1"/>
          <w:numId w:val="33"/>
        </w:numPr>
      </w:pPr>
      <w:r>
        <w:t>The Abstract Event definition may be a candidate for inclusion in the PIF book</w:t>
      </w:r>
    </w:p>
    <w:p w:rsidR="00AE31D7" w:rsidRDefault="00AE31D7" w:rsidP="00AE31D7">
      <w:pPr>
        <w:pStyle w:val="NoSpacing"/>
        <w:numPr>
          <w:ilvl w:val="0"/>
          <w:numId w:val="33"/>
        </w:numPr>
      </w:pPr>
      <w:r>
        <w:t>Discussion also included option of keeping the common definitions in a separate book</w:t>
      </w:r>
    </w:p>
    <w:p w:rsidR="00AE31D7" w:rsidRDefault="00AE31D7" w:rsidP="00AE31D7">
      <w:pPr>
        <w:pStyle w:val="NoSpacing"/>
        <w:numPr>
          <w:ilvl w:val="1"/>
          <w:numId w:val="33"/>
        </w:numPr>
      </w:pPr>
      <w:r>
        <w:t>Possibly, magenta, or blue, as part of a service management framework</w:t>
      </w:r>
    </w:p>
    <w:p w:rsidR="008F01E8" w:rsidRDefault="00AE31D7" w:rsidP="00AE31D7">
      <w:pPr>
        <w:pStyle w:val="NoSpacing"/>
        <w:numPr>
          <w:ilvl w:val="1"/>
          <w:numId w:val="33"/>
        </w:numPr>
      </w:pPr>
      <w:r>
        <w:t xml:space="preserve">Issue to be worked by off-line by WG Chairs </w:t>
      </w:r>
    </w:p>
    <w:p w:rsidR="00AE31D7" w:rsidRDefault="00AE31D7" w:rsidP="00AE31D7">
      <w:pPr>
        <w:pStyle w:val="Heading2"/>
        <w:numPr>
          <w:ilvl w:val="0"/>
          <w:numId w:val="30"/>
        </w:numPr>
      </w:pPr>
      <w:r>
        <w:t>TGFT Prototyping</w:t>
      </w:r>
    </w:p>
    <w:p w:rsidR="00AE31D7" w:rsidRDefault="00AE31D7" w:rsidP="00AE31D7">
      <w:pPr>
        <w:pStyle w:val="ListParagraph"/>
        <w:numPr>
          <w:ilvl w:val="0"/>
          <w:numId w:val="34"/>
        </w:numPr>
      </w:pPr>
      <w:r>
        <w:t xml:space="preserve"> </w:t>
      </w:r>
      <w:r>
        <w:t>Discussion involved confirming that the restricted XFDU schema as extension points for inclusion of data type specific metadata</w:t>
      </w:r>
    </w:p>
    <w:p w:rsidR="00AE31D7" w:rsidRDefault="00AE31D7" w:rsidP="00AE31D7">
      <w:pPr>
        <w:pStyle w:val="ListParagraph"/>
        <w:numPr>
          <w:ilvl w:val="0"/>
          <w:numId w:val="34"/>
        </w:numPr>
      </w:pPr>
      <w:r>
        <w:t xml:space="preserve">J. Pietras advanced the idea that testing of TGFT can be seen as something like the testing of the </w:t>
      </w:r>
      <w:bookmarkStart w:id="0" w:name="_GoBack"/>
      <w:bookmarkEnd w:id="0"/>
      <w:r>
        <w:t>CSTS whereby there is something of a “dummy” service utilizing TGFT</w:t>
      </w:r>
    </w:p>
    <w:p w:rsidR="00AE31D7" w:rsidRDefault="00AE31D7" w:rsidP="00AE31D7">
      <w:pPr>
        <w:pStyle w:val="ListParagraph"/>
        <w:numPr>
          <w:ilvl w:val="0"/>
          <w:numId w:val="34"/>
        </w:numPr>
      </w:pPr>
      <w:r>
        <w:t>agreed that one of the key aspects of the prototyping is to ensure that the extension mechanism for packaging XFDUs is adequately represented for the scenarios envisioned for CCSDS member agency usage of TGFT</w:t>
      </w:r>
    </w:p>
    <w:p w:rsidR="002224A6" w:rsidRDefault="00AE31D7" w:rsidP="002224A6">
      <w:pPr>
        <w:pStyle w:val="ListParagraph"/>
        <w:numPr>
          <w:ilvl w:val="0"/>
          <w:numId w:val="34"/>
        </w:numPr>
      </w:pPr>
      <w:r>
        <w:t xml:space="preserve">Action to E. Barkley </w:t>
      </w:r>
      <w:r w:rsidR="002224A6">
        <w:t>to take a look at the scenarios used in the original BOF discussions and pick a few that represent widely used use cases for CCSDS and provide further details to the extent possible;  due date of 25 October 2017</w:t>
      </w:r>
    </w:p>
    <w:p w:rsidR="002224A6" w:rsidRDefault="009A79B3" w:rsidP="001C2B8B">
      <w:pPr>
        <w:pStyle w:val="Heading2"/>
        <w:numPr>
          <w:ilvl w:val="0"/>
          <w:numId w:val="30"/>
        </w:numPr>
        <w:rPr>
          <w:rFonts w:cstheme="majorHAnsi"/>
        </w:rPr>
      </w:pPr>
      <w:r>
        <w:rPr>
          <w:rFonts w:cstheme="majorHAnsi"/>
        </w:rPr>
        <w:t>Strawman Event Sequence</w:t>
      </w:r>
    </w:p>
    <w:p w:rsidR="002224A6" w:rsidRDefault="002224A6" w:rsidP="002224A6">
      <w:pPr>
        <w:pStyle w:val="ListParagraph"/>
        <w:numPr>
          <w:ilvl w:val="0"/>
          <w:numId w:val="35"/>
        </w:numPr>
      </w:pPr>
      <w:r>
        <w:t>Walked through the presentation sent out on October 11</w:t>
      </w:r>
      <w:r w:rsidRPr="002224A6">
        <w:rPr>
          <w:vertAlign w:val="superscript"/>
        </w:rPr>
        <w:t>th</w:t>
      </w:r>
    </w:p>
    <w:p w:rsidR="002224A6" w:rsidRDefault="002224A6" w:rsidP="002224A6">
      <w:pPr>
        <w:pStyle w:val="ListParagraph"/>
        <w:numPr>
          <w:ilvl w:val="0"/>
          <w:numId w:val="35"/>
        </w:numPr>
      </w:pPr>
      <w:r>
        <w:t>A question of whether this could include control based on status/monitored data items output was raised</w:t>
      </w:r>
    </w:p>
    <w:p w:rsidR="002224A6" w:rsidRDefault="002224A6" w:rsidP="002224A6">
      <w:pPr>
        <w:pStyle w:val="ListParagraph"/>
        <w:numPr>
          <w:ilvl w:val="1"/>
          <w:numId w:val="35"/>
        </w:numPr>
      </w:pPr>
      <w:r>
        <w:t>E.g, throttling the command service based on what is being seen with regard to CLCW and/or PLOP configuration</w:t>
      </w:r>
    </w:p>
    <w:p w:rsidR="002224A6" w:rsidRDefault="002224A6" w:rsidP="002224A6">
      <w:pPr>
        <w:pStyle w:val="ListParagraph"/>
        <w:numPr>
          <w:ilvl w:val="1"/>
          <w:numId w:val="35"/>
        </w:numPr>
      </w:pPr>
      <w:r>
        <w:t xml:space="preserve">noted that this is something that could be considered but is not what is currently envisioned as being part of the event sequence </w:t>
      </w:r>
    </w:p>
    <w:p w:rsidR="002224A6" w:rsidRDefault="002224A6" w:rsidP="002224A6">
      <w:pPr>
        <w:pStyle w:val="ListParagraph"/>
        <w:numPr>
          <w:ilvl w:val="1"/>
          <w:numId w:val="35"/>
        </w:numPr>
      </w:pPr>
      <w:r>
        <w:t>also noted that this needs to be considered in conjunction with the SC-CSTS work as well</w:t>
      </w:r>
    </w:p>
    <w:p w:rsidR="009A79B3" w:rsidRPr="009A79B3" w:rsidRDefault="002224A6" w:rsidP="002224A6">
      <w:pPr>
        <w:pStyle w:val="ListParagraph"/>
        <w:numPr>
          <w:ilvl w:val="0"/>
          <w:numId w:val="35"/>
        </w:numPr>
      </w:pPr>
      <w:r>
        <w:t xml:space="preserve"> Noted that email comments were received from H. Driehahn -- analysis/responses to be provided</w:t>
      </w:r>
    </w:p>
    <w:p w:rsidR="008F01E8" w:rsidRDefault="001C2B8B" w:rsidP="001C2B8B">
      <w:pPr>
        <w:pStyle w:val="Heading2"/>
        <w:numPr>
          <w:ilvl w:val="0"/>
          <w:numId w:val="30"/>
        </w:numPr>
      </w:pPr>
      <w:r>
        <w:lastRenderedPageBreak/>
        <w:t xml:space="preserve">Fall Meetings Planning </w:t>
      </w:r>
    </w:p>
    <w:p w:rsidR="002224A6" w:rsidRDefault="002224A6" w:rsidP="002224A6">
      <w:pPr>
        <w:pStyle w:val="NoSpacing"/>
        <w:numPr>
          <w:ilvl w:val="0"/>
          <w:numId w:val="36"/>
        </w:numPr>
      </w:pPr>
      <w:r>
        <w:t>preliminary draft agenda agreed to (see below)</w:t>
      </w:r>
    </w:p>
    <w:p w:rsidR="002224A6" w:rsidRDefault="002224A6" w:rsidP="002224A6">
      <w:pPr>
        <w:pStyle w:val="NoSpacing"/>
        <w:numPr>
          <w:ilvl w:val="0"/>
          <w:numId w:val="36"/>
        </w:numPr>
      </w:pPr>
      <w:r>
        <w:t>subsequent coordination teleconference to be arranged for the CSS Area working group chairs</w:t>
      </w:r>
    </w:p>
    <w:p w:rsidR="002224A6" w:rsidRDefault="002224A6" w:rsidP="002224A6">
      <w:pPr>
        <w:pStyle w:val="NoSpacing"/>
        <w:numPr>
          <w:ilvl w:val="0"/>
          <w:numId w:val="36"/>
        </w:numPr>
      </w:pPr>
      <w:r>
        <w:t>Preliminary draft agenda (slightly edited from teleconference presentation):</w:t>
      </w:r>
    </w:p>
    <w:p w:rsidR="002224A6" w:rsidRPr="002224A6" w:rsidRDefault="002224A6" w:rsidP="002224A6">
      <w:pPr>
        <w:pStyle w:val="NoSpacing"/>
        <w:numPr>
          <w:ilvl w:val="0"/>
          <w:numId w:val="36"/>
        </w:numPr>
      </w:pPr>
      <w:r w:rsidRPr="002224A6">
        <w:drawing>
          <wp:inline distT="0" distB="0" distL="0" distR="0">
            <wp:extent cx="5943600" cy="1723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23433"/>
                    </a:xfrm>
                    <a:prstGeom prst="rect">
                      <a:avLst/>
                    </a:prstGeom>
                    <a:noFill/>
                    <a:ln>
                      <a:noFill/>
                    </a:ln>
                  </pic:spPr>
                </pic:pic>
              </a:graphicData>
            </a:graphic>
          </wp:inline>
        </w:drawing>
      </w:r>
    </w:p>
    <w:p w:rsidR="00B14DEA" w:rsidRDefault="008F01E8" w:rsidP="001C2B8B">
      <w:pPr>
        <w:pStyle w:val="Heading2"/>
        <w:numPr>
          <w:ilvl w:val="0"/>
          <w:numId w:val="30"/>
        </w:numPr>
      </w:pPr>
      <w:r>
        <w:t xml:space="preserve">AOB </w:t>
      </w:r>
    </w:p>
    <w:p w:rsidR="00253647" w:rsidRDefault="00253647" w:rsidP="00253647">
      <w:pPr>
        <w:pStyle w:val="ListParagraph"/>
        <w:numPr>
          <w:ilvl w:val="0"/>
          <w:numId w:val="31"/>
        </w:numPr>
      </w:pPr>
      <w:r>
        <w:t>CWE Update Note</w:t>
      </w:r>
    </w:p>
    <w:p w:rsidR="002224A6" w:rsidRDefault="002224A6" w:rsidP="002224A6">
      <w:pPr>
        <w:pStyle w:val="ListParagraph"/>
        <w:numPr>
          <w:ilvl w:val="1"/>
          <w:numId w:val="31"/>
        </w:numPr>
      </w:pPr>
      <w:r>
        <w:t>issue with regard to preserving metadata was noted</w:t>
      </w:r>
    </w:p>
    <w:p w:rsidR="002224A6" w:rsidRDefault="002224A6" w:rsidP="002224A6">
      <w:pPr>
        <w:pStyle w:val="ListParagraph"/>
        <w:numPr>
          <w:ilvl w:val="1"/>
          <w:numId w:val="31"/>
        </w:numPr>
      </w:pPr>
      <w:r>
        <w:t>agreed that it is good to preserve the metadata</w:t>
      </w:r>
    </w:p>
    <w:p w:rsidR="002224A6" w:rsidRDefault="002224A6" w:rsidP="002224A6">
      <w:pPr>
        <w:pStyle w:val="ListParagraph"/>
        <w:numPr>
          <w:ilvl w:val="1"/>
          <w:numId w:val="31"/>
        </w:numPr>
      </w:pPr>
      <w:r>
        <w:t>agreed that with pursuing the approach of making the old CWE structure read only</w:t>
      </w:r>
    </w:p>
    <w:p w:rsidR="002224A6" w:rsidRDefault="002224A6" w:rsidP="002224A6">
      <w:pPr>
        <w:pStyle w:val="ListParagraph"/>
        <w:numPr>
          <w:ilvl w:val="1"/>
          <w:numId w:val="31"/>
        </w:numPr>
      </w:pPr>
      <w:r>
        <w:t>a question was raised about providing hyperlinks from the new CWE structure to the old CWE structure</w:t>
      </w:r>
    </w:p>
    <w:p w:rsidR="002224A6" w:rsidRPr="00253647" w:rsidRDefault="002224A6" w:rsidP="002224A6">
      <w:pPr>
        <w:pStyle w:val="ListParagraph"/>
        <w:numPr>
          <w:ilvl w:val="2"/>
          <w:numId w:val="31"/>
        </w:numPr>
      </w:pPr>
      <w:r>
        <w:t>from a practical point of view, getting this implemented, this will likely just be some sort of readme file</w:t>
      </w:r>
    </w:p>
    <w:p w:rsidR="002224A6" w:rsidRDefault="002224A6" w:rsidP="005478E1">
      <w:pPr>
        <w:pStyle w:val="Heading1"/>
      </w:pPr>
    </w:p>
    <w:p w:rsidR="00640302" w:rsidRDefault="005478E1" w:rsidP="005478E1">
      <w:pPr>
        <w:pStyle w:val="Heading1"/>
      </w:pPr>
      <w:r>
        <w:t>Next Telecon</w:t>
      </w:r>
    </w:p>
    <w:p w:rsidR="00300E16" w:rsidRPr="00B14DEA" w:rsidRDefault="002224A6" w:rsidP="00B14DEA">
      <w:r>
        <w:t>The fall to spring 2018 telecon schedule will be determined at the fall 2017 meetings.</w:t>
      </w:r>
    </w:p>
    <w:sectPr w:rsidR="00300E16" w:rsidRPr="00B1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AA" w:rsidRDefault="00E037AA" w:rsidP="00B12564">
      <w:pPr>
        <w:spacing w:after="0" w:line="240" w:lineRule="auto"/>
      </w:pPr>
      <w:r>
        <w:separator/>
      </w:r>
    </w:p>
  </w:endnote>
  <w:endnote w:type="continuationSeparator" w:id="0">
    <w:p w:rsidR="00E037AA" w:rsidRDefault="00E037AA"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AA" w:rsidRDefault="00E037AA" w:rsidP="00B12564">
      <w:pPr>
        <w:spacing w:after="0" w:line="240" w:lineRule="auto"/>
      </w:pPr>
      <w:r>
        <w:separator/>
      </w:r>
    </w:p>
  </w:footnote>
  <w:footnote w:type="continuationSeparator" w:id="0">
    <w:p w:rsidR="00E037AA" w:rsidRDefault="00E037AA"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BBE"/>
    <w:multiLevelType w:val="hybridMultilevel"/>
    <w:tmpl w:val="FE129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555A"/>
    <w:multiLevelType w:val="hybridMultilevel"/>
    <w:tmpl w:val="27346FF2"/>
    <w:lvl w:ilvl="0" w:tplc="4F9C6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D1E9C"/>
    <w:multiLevelType w:val="hybridMultilevel"/>
    <w:tmpl w:val="F2763B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47A6"/>
    <w:multiLevelType w:val="hybridMultilevel"/>
    <w:tmpl w:val="C75A81F2"/>
    <w:lvl w:ilvl="0" w:tplc="42B20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20"/>
    <w:multiLevelType w:val="hybridMultilevel"/>
    <w:tmpl w:val="2E7A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B59D6"/>
    <w:multiLevelType w:val="hybridMultilevel"/>
    <w:tmpl w:val="75025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1E60"/>
    <w:multiLevelType w:val="hybridMultilevel"/>
    <w:tmpl w:val="3D16E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70C4A"/>
    <w:multiLevelType w:val="hybridMultilevel"/>
    <w:tmpl w:val="9E8AC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08311A"/>
    <w:multiLevelType w:val="hybridMultilevel"/>
    <w:tmpl w:val="B4DE16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636AE"/>
    <w:multiLevelType w:val="hybridMultilevel"/>
    <w:tmpl w:val="2D6E3B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B75"/>
    <w:multiLevelType w:val="hybridMultilevel"/>
    <w:tmpl w:val="7D7A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04AE"/>
    <w:multiLevelType w:val="hybridMultilevel"/>
    <w:tmpl w:val="D240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65DC7"/>
    <w:multiLevelType w:val="hybridMultilevel"/>
    <w:tmpl w:val="7212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D1002"/>
    <w:multiLevelType w:val="hybridMultilevel"/>
    <w:tmpl w:val="BEF40E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26606"/>
    <w:multiLevelType w:val="hybridMultilevel"/>
    <w:tmpl w:val="380697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928A9"/>
    <w:multiLevelType w:val="hybridMultilevel"/>
    <w:tmpl w:val="1346C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556B2"/>
    <w:multiLevelType w:val="hybridMultilevel"/>
    <w:tmpl w:val="1676EFAA"/>
    <w:lvl w:ilvl="0" w:tplc="5580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E1736"/>
    <w:multiLevelType w:val="hybridMultilevel"/>
    <w:tmpl w:val="56AC8AA2"/>
    <w:lvl w:ilvl="0" w:tplc="D730DCA8">
      <w:start w:val="1"/>
      <w:numFmt w:val="decimal"/>
      <w:lvlText w:val="%1)"/>
      <w:lvlJc w:val="left"/>
      <w:pPr>
        <w:ind w:left="720" w:hanging="360"/>
      </w:pPr>
      <w:rPr>
        <w:rFonts w:ascii="Georgia" w:eastAsia="Times New Roman"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15F16"/>
    <w:multiLevelType w:val="hybridMultilevel"/>
    <w:tmpl w:val="CB8AF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A5EC0"/>
    <w:multiLevelType w:val="hybridMultilevel"/>
    <w:tmpl w:val="49BC285A"/>
    <w:lvl w:ilvl="0" w:tplc="310E7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FC50EA"/>
    <w:multiLevelType w:val="hybridMultilevel"/>
    <w:tmpl w:val="8A2C1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34965"/>
    <w:multiLevelType w:val="hybridMultilevel"/>
    <w:tmpl w:val="F00477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C65C4"/>
    <w:multiLevelType w:val="hybridMultilevel"/>
    <w:tmpl w:val="2D209E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62AEA"/>
    <w:multiLevelType w:val="hybridMultilevel"/>
    <w:tmpl w:val="F9CA43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27436"/>
    <w:multiLevelType w:val="hybridMultilevel"/>
    <w:tmpl w:val="749CEA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07F6C"/>
    <w:multiLevelType w:val="hybridMultilevel"/>
    <w:tmpl w:val="1084F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40DE5"/>
    <w:multiLevelType w:val="hybridMultilevel"/>
    <w:tmpl w:val="0C64DE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D10EE"/>
    <w:multiLevelType w:val="hybridMultilevel"/>
    <w:tmpl w:val="4D88AB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7"/>
  </w:num>
  <w:num w:numId="5">
    <w:abstractNumId w:val="4"/>
  </w:num>
  <w:num w:numId="6">
    <w:abstractNumId w:val="20"/>
  </w:num>
  <w:num w:numId="7">
    <w:abstractNumId w:val="28"/>
  </w:num>
  <w:num w:numId="8">
    <w:abstractNumId w:val="0"/>
  </w:num>
  <w:num w:numId="9">
    <w:abstractNumId w:val="19"/>
  </w:num>
  <w:num w:numId="10">
    <w:abstractNumId w:val="8"/>
  </w:num>
  <w:num w:numId="11">
    <w:abstractNumId w:val="32"/>
  </w:num>
  <w:num w:numId="12">
    <w:abstractNumId w:val="12"/>
  </w:num>
  <w:num w:numId="13">
    <w:abstractNumId w:val="1"/>
  </w:num>
  <w:num w:numId="14">
    <w:abstractNumId w:val="10"/>
  </w:num>
  <w:num w:numId="15">
    <w:abstractNumId w:val="21"/>
  </w:num>
  <w:num w:numId="16">
    <w:abstractNumId w:val="3"/>
  </w:num>
  <w:num w:numId="17">
    <w:abstractNumId w:val="24"/>
  </w:num>
  <w:num w:numId="18">
    <w:abstractNumId w:val="2"/>
  </w:num>
  <w:num w:numId="19">
    <w:abstractNumId w:val="15"/>
  </w:num>
  <w:num w:numId="20">
    <w:abstractNumId w:val="33"/>
  </w:num>
  <w:num w:numId="21">
    <w:abstractNumId w:val="2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16"/>
  </w:num>
  <w:num w:numId="26">
    <w:abstractNumId w:val="5"/>
  </w:num>
  <w:num w:numId="27">
    <w:abstractNumId w:val="13"/>
  </w:num>
  <w:num w:numId="28">
    <w:abstractNumId w:val="14"/>
  </w:num>
  <w:num w:numId="29">
    <w:abstractNumId w:val="9"/>
  </w:num>
  <w:num w:numId="30">
    <w:abstractNumId w:val="26"/>
  </w:num>
  <w:num w:numId="31">
    <w:abstractNumId w:val="31"/>
  </w:num>
  <w:num w:numId="32">
    <w:abstractNumId w:val="6"/>
  </w:num>
  <w:num w:numId="33">
    <w:abstractNumId w:val="29"/>
  </w:num>
  <w:num w:numId="34">
    <w:abstractNumId w:val="25"/>
  </w:num>
  <w:num w:numId="35">
    <w:abstractNumId w:val="11"/>
  </w:num>
  <w:num w:numId="3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A05754-D666-48AB-94C1-AE9A24EE86C9}"/>
    <w:docVar w:name="dgnword-eventsink" w:val="121454944"/>
  </w:docVars>
  <w:rsids>
    <w:rsidRoot w:val="00C3228F"/>
    <w:rsid w:val="00002A46"/>
    <w:rsid w:val="00010239"/>
    <w:rsid w:val="00013287"/>
    <w:rsid w:val="00015842"/>
    <w:rsid w:val="00022E01"/>
    <w:rsid w:val="000249C3"/>
    <w:rsid w:val="000260EE"/>
    <w:rsid w:val="000306C1"/>
    <w:rsid w:val="000504A5"/>
    <w:rsid w:val="00050EA6"/>
    <w:rsid w:val="000533F6"/>
    <w:rsid w:val="0006147A"/>
    <w:rsid w:val="00067139"/>
    <w:rsid w:val="00074F82"/>
    <w:rsid w:val="000778C8"/>
    <w:rsid w:val="00077C45"/>
    <w:rsid w:val="00092F5F"/>
    <w:rsid w:val="000B5348"/>
    <w:rsid w:val="000C100C"/>
    <w:rsid w:val="000C36E7"/>
    <w:rsid w:val="000C72BF"/>
    <w:rsid w:val="000D1717"/>
    <w:rsid w:val="000F7125"/>
    <w:rsid w:val="001016EF"/>
    <w:rsid w:val="0011018B"/>
    <w:rsid w:val="00115E39"/>
    <w:rsid w:val="00120797"/>
    <w:rsid w:val="00124EA1"/>
    <w:rsid w:val="00133A2A"/>
    <w:rsid w:val="0013698D"/>
    <w:rsid w:val="00154DED"/>
    <w:rsid w:val="00160652"/>
    <w:rsid w:val="001709C5"/>
    <w:rsid w:val="001767FD"/>
    <w:rsid w:val="00184B14"/>
    <w:rsid w:val="0018758B"/>
    <w:rsid w:val="001A7744"/>
    <w:rsid w:val="001C2B8B"/>
    <w:rsid w:val="001D68A6"/>
    <w:rsid w:val="001E01E2"/>
    <w:rsid w:val="001F1C70"/>
    <w:rsid w:val="00206650"/>
    <w:rsid w:val="00207D3E"/>
    <w:rsid w:val="00217B83"/>
    <w:rsid w:val="00220478"/>
    <w:rsid w:val="0022052B"/>
    <w:rsid w:val="002224A6"/>
    <w:rsid w:val="002429D6"/>
    <w:rsid w:val="002475C9"/>
    <w:rsid w:val="00253647"/>
    <w:rsid w:val="00257E10"/>
    <w:rsid w:val="00275F4B"/>
    <w:rsid w:val="002879D6"/>
    <w:rsid w:val="00293A40"/>
    <w:rsid w:val="002A7D20"/>
    <w:rsid w:val="002B3980"/>
    <w:rsid w:val="002B4444"/>
    <w:rsid w:val="002B608A"/>
    <w:rsid w:val="002C40F3"/>
    <w:rsid w:val="002C7230"/>
    <w:rsid w:val="002D23D2"/>
    <w:rsid w:val="002F006D"/>
    <w:rsid w:val="00300E16"/>
    <w:rsid w:val="0030498A"/>
    <w:rsid w:val="00327253"/>
    <w:rsid w:val="00331030"/>
    <w:rsid w:val="003441E6"/>
    <w:rsid w:val="003450A5"/>
    <w:rsid w:val="00347688"/>
    <w:rsid w:val="00363F12"/>
    <w:rsid w:val="00376B0E"/>
    <w:rsid w:val="00385BC7"/>
    <w:rsid w:val="00396C00"/>
    <w:rsid w:val="003A2200"/>
    <w:rsid w:val="003C0705"/>
    <w:rsid w:val="003C453E"/>
    <w:rsid w:val="003C4C79"/>
    <w:rsid w:val="003C73B0"/>
    <w:rsid w:val="00417959"/>
    <w:rsid w:val="004228F1"/>
    <w:rsid w:val="00422A16"/>
    <w:rsid w:val="00424C9D"/>
    <w:rsid w:val="00442BE1"/>
    <w:rsid w:val="004562F0"/>
    <w:rsid w:val="00492360"/>
    <w:rsid w:val="004C17A0"/>
    <w:rsid w:val="004C3ED6"/>
    <w:rsid w:val="004C6D10"/>
    <w:rsid w:val="004D771D"/>
    <w:rsid w:val="004E00C0"/>
    <w:rsid w:val="004E0C7E"/>
    <w:rsid w:val="00502499"/>
    <w:rsid w:val="0051173A"/>
    <w:rsid w:val="00540ACD"/>
    <w:rsid w:val="005418A3"/>
    <w:rsid w:val="005478E1"/>
    <w:rsid w:val="00555F7C"/>
    <w:rsid w:val="00561944"/>
    <w:rsid w:val="0057124A"/>
    <w:rsid w:val="005776CA"/>
    <w:rsid w:val="00594758"/>
    <w:rsid w:val="00596195"/>
    <w:rsid w:val="005B2FEF"/>
    <w:rsid w:val="005C0E2B"/>
    <w:rsid w:val="005C1DFD"/>
    <w:rsid w:val="005C2000"/>
    <w:rsid w:val="005D7984"/>
    <w:rsid w:val="005E3614"/>
    <w:rsid w:val="005E5257"/>
    <w:rsid w:val="005F238C"/>
    <w:rsid w:val="00603634"/>
    <w:rsid w:val="00615FE4"/>
    <w:rsid w:val="00616E8C"/>
    <w:rsid w:val="00616F2C"/>
    <w:rsid w:val="00630A2B"/>
    <w:rsid w:val="00633779"/>
    <w:rsid w:val="00633A17"/>
    <w:rsid w:val="00633F3A"/>
    <w:rsid w:val="00640302"/>
    <w:rsid w:val="00665F77"/>
    <w:rsid w:val="006728F6"/>
    <w:rsid w:val="00680CE7"/>
    <w:rsid w:val="0068242F"/>
    <w:rsid w:val="00687D1D"/>
    <w:rsid w:val="00690F8B"/>
    <w:rsid w:val="006A5062"/>
    <w:rsid w:val="006B46BA"/>
    <w:rsid w:val="006C18D4"/>
    <w:rsid w:val="006C54A9"/>
    <w:rsid w:val="006C6DD4"/>
    <w:rsid w:val="006D1D96"/>
    <w:rsid w:val="006D27A1"/>
    <w:rsid w:val="006F2694"/>
    <w:rsid w:val="0070114F"/>
    <w:rsid w:val="007018DB"/>
    <w:rsid w:val="007109B7"/>
    <w:rsid w:val="007122C5"/>
    <w:rsid w:val="0074036F"/>
    <w:rsid w:val="0074270D"/>
    <w:rsid w:val="0076440B"/>
    <w:rsid w:val="00773606"/>
    <w:rsid w:val="00784B0E"/>
    <w:rsid w:val="00794AE8"/>
    <w:rsid w:val="00797390"/>
    <w:rsid w:val="007B46B5"/>
    <w:rsid w:val="007C05F0"/>
    <w:rsid w:val="007F2DEB"/>
    <w:rsid w:val="007F6F65"/>
    <w:rsid w:val="00801A91"/>
    <w:rsid w:val="00804694"/>
    <w:rsid w:val="008204AD"/>
    <w:rsid w:val="008232FB"/>
    <w:rsid w:val="00823F0C"/>
    <w:rsid w:val="00831DFD"/>
    <w:rsid w:val="00837BF8"/>
    <w:rsid w:val="00860CAC"/>
    <w:rsid w:val="00863A0D"/>
    <w:rsid w:val="008707B2"/>
    <w:rsid w:val="00891090"/>
    <w:rsid w:val="00893AE7"/>
    <w:rsid w:val="008A1B1F"/>
    <w:rsid w:val="008A2C16"/>
    <w:rsid w:val="008A3585"/>
    <w:rsid w:val="008A3639"/>
    <w:rsid w:val="008A44FC"/>
    <w:rsid w:val="008A70E9"/>
    <w:rsid w:val="008B69B4"/>
    <w:rsid w:val="008C20DE"/>
    <w:rsid w:val="008F01E8"/>
    <w:rsid w:val="008F4CE7"/>
    <w:rsid w:val="00904E22"/>
    <w:rsid w:val="009134B6"/>
    <w:rsid w:val="009147F6"/>
    <w:rsid w:val="00915D36"/>
    <w:rsid w:val="00916453"/>
    <w:rsid w:val="00932F93"/>
    <w:rsid w:val="00953647"/>
    <w:rsid w:val="00954287"/>
    <w:rsid w:val="0096123A"/>
    <w:rsid w:val="00974D52"/>
    <w:rsid w:val="00977D9C"/>
    <w:rsid w:val="00987E4A"/>
    <w:rsid w:val="00995CED"/>
    <w:rsid w:val="009962C9"/>
    <w:rsid w:val="009A604C"/>
    <w:rsid w:val="009A6ABB"/>
    <w:rsid w:val="009A79B3"/>
    <w:rsid w:val="009B23A9"/>
    <w:rsid w:val="009E2DE7"/>
    <w:rsid w:val="009F0BBA"/>
    <w:rsid w:val="009F23B4"/>
    <w:rsid w:val="00A049B8"/>
    <w:rsid w:val="00A10A51"/>
    <w:rsid w:val="00A13329"/>
    <w:rsid w:val="00A17160"/>
    <w:rsid w:val="00A316C5"/>
    <w:rsid w:val="00A53D56"/>
    <w:rsid w:val="00A55DDF"/>
    <w:rsid w:val="00A83188"/>
    <w:rsid w:val="00A96D75"/>
    <w:rsid w:val="00A9704F"/>
    <w:rsid w:val="00AC3832"/>
    <w:rsid w:val="00AD29DB"/>
    <w:rsid w:val="00AD5822"/>
    <w:rsid w:val="00AE31D7"/>
    <w:rsid w:val="00AE42FA"/>
    <w:rsid w:val="00AF2A0E"/>
    <w:rsid w:val="00AF2DD1"/>
    <w:rsid w:val="00AF32D7"/>
    <w:rsid w:val="00B00A65"/>
    <w:rsid w:val="00B12564"/>
    <w:rsid w:val="00B14DEA"/>
    <w:rsid w:val="00B43A7C"/>
    <w:rsid w:val="00B52AD4"/>
    <w:rsid w:val="00B540C7"/>
    <w:rsid w:val="00B60E35"/>
    <w:rsid w:val="00B75631"/>
    <w:rsid w:val="00B77C2B"/>
    <w:rsid w:val="00B80977"/>
    <w:rsid w:val="00B8157B"/>
    <w:rsid w:val="00B82591"/>
    <w:rsid w:val="00B90EA0"/>
    <w:rsid w:val="00BA2B91"/>
    <w:rsid w:val="00BC3B6E"/>
    <w:rsid w:val="00BC6563"/>
    <w:rsid w:val="00BC7876"/>
    <w:rsid w:val="00BD3E82"/>
    <w:rsid w:val="00C05D4F"/>
    <w:rsid w:val="00C15822"/>
    <w:rsid w:val="00C24F93"/>
    <w:rsid w:val="00C3132E"/>
    <w:rsid w:val="00C3228F"/>
    <w:rsid w:val="00C350CE"/>
    <w:rsid w:val="00C36B9E"/>
    <w:rsid w:val="00C51BEE"/>
    <w:rsid w:val="00C551D3"/>
    <w:rsid w:val="00C61A4A"/>
    <w:rsid w:val="00C624E6"/>
    <w:rsid w:val="00C745BA"/>
    <w:rsid w:val="00C875FC"/>
    <w:rsid w:val="00CA19A7"/>
    <w:rsid w:val="00CB27D3"/>
    <w:rsid w:val="00CC01B1"/>
    <w:rsid w:val="00CD7B43"/>
    <w:rsid w:val="00CE67D5"/>
    <w:rsid w:val="00CF4A0C"/>
    <w:rsid w:val="00CF71C8"/>
    <w:rsid w:val="00D15929"/>
    <w:rsid w:val="00D17612"/>
    <w:rsid w:val="00D21F02"/>
    <w:rsid w:val="00D22A2F"/>
    <w:rsid w:val="00D45F66"/>
    <w:rsid w:val="00D47CA6"/>
    <w:rsid w:val="00D60390"/>
    <w:rsid w:val="00D636CE"/>
    <w:rsid w:val="00D645DC"/>
    <w:rsid w:val="00D66AB4"/>
    <w:rsid w:val="00D70DD5"/>
    <w:rsid w:val="00D74B84"/>
    <w:rsid w:val="00D75DA8"/>
    <w:rsid w:val="00D848F6"/>
    <w:rsid w:val="00D84B8B"/>
    <w:rsid w:val="00DA57C2"/>
    <w:rsid w:val="00DB0083"/>
    <w:rsid w:val="00DB3471"/>
    <w:rsid w:val="00DC03D4"/>
    <w:rsid w:val="00DC3F49"/>
    <w:rsid w:val="00DD6D30"/>
    <w:rsid w:val="00DF01C3"/>
    <w:rsid w:val="00DF4376"/>
    <w:rsid w:val="00E00E5D"/>
    <w:rsid w:val="00E037AA"/>
    <w:rsid w:val="00E1407E"/>
    <w:rsid w:val="00E307AD"/>
    <w:rsid w:val="00E4273E"/>
    <w:rsid w:val="00E45FEA"/>
    <w:rsid w:val="00E5044D"/>
    <w:rsid w:val="00E53B3B"/>
    <w:rsid w:val="00E64317"/>
    <w:rsid w:val="00E770A1"/>
    <w:rsid w:val="00E95E4B"/>
    <w:rsid w:val="00EA6090"/>
    <w:rsid w:val="00EC2D49"/>
    <w:rsid w:val="00ED1CB7"/>
    <w:rsid w:val="00ED2384"/>
    <w:rsid w:val="00EF033F"/>
    <w:rsid w:val="00EF5C98"/>
    <w:rsid w:val="00F13788"/>
    <w:rsid w:val="00F14580"/>
    <w:rsid w:val="00F303F8"/>
    <w:rsid w:val="00F43744"/>
    <w:rsid w:val="00F44651"/>
    <w:rsid w:val="00F44A83"/>
    <w:rsid w:val="00F60BE7"/>
    <w:rsid w:val="00F71E16"/>
    <w:rsid w:val="00F82F0D"/>
    <w:rsid w:val="00F8754E"/>
    <w:rsid w:val="00F93AD7"/>
    <w:rsid w:val="00FA1B8E"/>
    <w:rsid w:val="00FA200D"/>
    <w:rsid w:val="00FA6A62"/>
    <w:rsid w:val="00FB06C2"/>
    <w:rsid w:val="00FB0B56"/>
    <w:rsid w:val="00FE2F3C"/>
    <w:rsid w:val="00FF1997"/>
    <w:rsid w:val="00FF554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370C"/>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A289-3EE3-4E9F-98E6-127EED4E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2017-10-17T00:05:00Z</dcterms:created>
  <dcterms:modified xsi:type="dcterms:W3CDTF">2017-10-18T00:46:00Z</dcterms:modified>
</cp:coreProperties>
</file>