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BF" w:rsidRDefault="000B5348" w:rsidP="00DF4376">
      <w:pPr>
        <w:pStyle w:val="Heading1"/>
        <w:jc w:val="center"/>
      </w:pPr>
      <w:bookmarkStart w:id="0" w:name="_GoBack"/>
      <w:bookmarkEnd w:id="0"/>
      <w:r>
        <w:t xml:space="preserve">CCSM </w:t>
      </w:r>
      <w:proofErr w:type="spellStart"/>
      <w:r>
        <w:t>Telecon</w:t>
      </w:r>
      <w:proofErr w:type="spellEnd"/>
      <w:r w:rsidR="00954287">
        <w:t>/</w:t>
      </w:r>
      <w:proofErr w:type="spellStart"/>
      <w:r w:rsidR="00954287">
        <w:t>Webex</w:t>
      </w:r>
      <w:proofErr w:type="spellEnd"/>
      <w:r w:rsidR="008707B2">
        <w:t>, 17 January 2017</w:t>
      </w:r>
    </w:p>
    <w:p w:rsidR="00E64317" w:rsidRDefault="00DF4376" w:rsidP="00540ACD">
      <w:pPr>
        <w:pStyle w:val="Heading1"/>
      </w:pPr>
      <w:r>
        <w:t>Attendees</w:t>
      </w:r>
    </w:p>
    <w:p w:rsidR="001A7744" w:rsidRPr="001A7744" w:rsidRDefault="00680CE7" w:rsidP="001A7744">
      <w:r>
        <w:t xml:space="preserve">E. Barkley, J. Chamoun, C. </w:t>
      </w:r>
      <w:proofErr w:type="spellStart"/>
      <w:r>
        <w:t>Ciocirlan</w:t>
      </w:r>
      <w:proofErr w:type="spellEnd"/>
      <w:r>
        <w:t xml:space="preserve">, A. </w:t>
      </w:r>
      <w:proofErr w:type="spellStart"/>
      <w:r>
        <w:t>Crowson</w:t>
      </w:r>
      <w:proofErr w:type="spellEnd"/>
      <w:r>
        <w:t xml:space="preserve">, C. </w:t>
      </w:r>
      <w:proofErr w:type="spellStart"/>
      <w:r>
        <w:t>Haddow</w:t>
      </w:r>
      <w:proofErr w:type="spellEnd"/>
      <w:r>
        <w:t xml:space="preserve">, H. </w:t>
      </w:r>
      <w:proofErr w:type="spellStart"/>
      <w:r>
        <w:t>Kelliher</w:t>
      </w:r>
      <w:proofErr w:type="spellEnd"/>
      <w:r>
        <w:t>,  U. Mueller-</w:t>
      </w:r>
      <w:proofErr w:type="spellStart"/>
      <w:r>
        <w:t>Wilm</w:t>
      </w:r>
      <w:proofErr w:type="spellEnd"/>
      <w:r>
        <w:t xml:space="preserve">, </w:t>
      </w:r>
      <w:r>
        <w:t>J. Pietras</w:t>
      </w:r>
      <w:r>
        <w:t>, Y. Wang, K. Tuttle</w:t>
      </w:r>
    </w:p>
    <w:p w:rsidR="00BC7876" w:rsidRDefault="00C3228F" w:rsidP="00013287">
      <w:pPr>
        <w:pStyle w:val="Heading1"/>
      </w:pPr>
      <w:r>
        <w:t>Agenda</w:t>
      </w:r>
      <w:r w:rsidR="00C36B9E">
        <w:t>/Notes</w:t>
      </w:r>
    </w:p>
    <w:p w:rsidR="00680CE7" w:rsidRDefault="008232FB" w:rsidP="00AD5822">
      <w:pPr>
        <w:numPr>
          <w:ilvl w:val="0"/>
          <w:numId w:val="12"/>
        </w:numPr>
        <w:spacing w:after="0" w:line="240" w:lineRule="auto"/>
        <w:rPr>
          <w:rFonts w:eastAsia="Times New Roman" w:cs="Times New Roman"/>
          <w:sz w:val="24"/>
          <w:szCs w:val="24"/>
        </w:rPr>
      </w:pPr>
      <w:r>
        <w:rPr>
          <w:rFonts w:eastAsia="Times New Roman" w:cs="Times New Roman"/>
          <w:sz w:val="24"/>
          <w:szCs w:val="24"/>
        </w:rPr>
        <w:t>General announcements</w:t>
      </w:r>
    </w:p>
    <w:p w:rsidR="00680CE7" w:rsidRDefault="00680CE7" w:rsidP="00680CE7">
      <w:pPr>
        <w:numPr>
          <w:ilvl w:val="1"/>
          <w:numId w:val="12"/>
        </w:numPr>
        <w:spacing w:after="0" w:line="240" w:lineRule="auto"/>
        <w:rPr>
          <w:rFonts w:eastAsia="Times New Roman" w:cs="Times New Roman"/>
          <w:sz w:val="24"/>
          <w:szCs w:val="24"/>
        </w:rPr>
      </w:pPr>
      <w:r>
        <w:rPr>
          <w:rFonts w:eastAsia="Times New Roman" w:cs="Times New Roman"/>
          <w:sz w:val="24"/>
          <w:szCs w:val="24"/>
        </w:rPr>
        <w:t>CESG Poll result: CSTS SFW and MD-CSTS approved with conditions; conditions being addressed</w:t>
      </w:r>
    </w:p>
    <w:p w:rsidR="008232FB" w:rsidRDefault="00680CE7" w:rsidP="00680CE7">
      <w:pPr>
        <w:numPr>
          <w:ilvl w:val="1"/>
          <w:numId w:val="12"/>
        </w:numPr>
        <w:spacing w:after="0" w:line="240" w:lineRule="auto"/>
        <w:rPr>
          <w:rFonts w:eastAsia="Times New Roman" w:cs="Times New Roman"/>
          <w:sz w:val="24"/>
          <w:szCs w:val="24"/>
        </w:rPr>
      </w:pPr>
      <w:r>
        <w:rPr>
          <w:rFonts w:eastAsia="Times New Roman" w:cs="Times New Roman"/>
          <w:sz w:val="24"/>
          <w:szCs w:val="24"/>
        </w:rPr>
        <w:t>C</w:t>
      </w:r>
      <w:r w:rsidR="00D74B84">
        <w:rPr>
          <w:rFonts w:eastAsia="Times New Roman" w:cs="Times New Roman"/>
          <w:sz w:val="24"/>
          <w:szCs w:val="24"/>
        </w:rPr>
        <w:t>SS Area is being updated; likely that future work including SC-CSTS and formalization of the functional resource model will be included</w:t>
      </w:r>
    </w:p>
    <w:p w:rsidR="002C7230" w:rsidRDefault="00BC7876" w:rsidP="00AD5822">
      <w:pPr>
        <w:numPr>
          <w:ilvl w:val="0"/>
          <w:numId w:val="12"/>
        </w:numPr>
        <w:spacing w:after="0" w:line="240" w:lineRule="auto"/>
        <w:rPr>
          <w:rFonts w:eastAsia="Times New Roman" w:cs="Times New Roman"/>
          <w:sz w:val="24"/>
          <w:szCs w:val="24"/>
        </w:rPr>
      </w:pPr>
      <w:r w:rsidRPr="005C2000">
        <w:rPr>
          <w:rFonts w:eastAsia="Times New Roman" w:cs="Times New Roman"/>
          <w:sz w:val="24"/>
          <w:szCs w:val="24"/>
        </w:rPr>
        <w:t>Action Items Review/Updates</w:t>
      </w:r>
    </w:p>
    <w:p w:rsidR="00D74B84" w:rsidRPr="005C2000" w:rsidRDefault="00D74B84" w:rsidP="00D74B84">
      <w:pPr>
        <w:numPr>
          <w:ilvl w:val="1"/>
          <w:numId w:val="12"/>
        </w:numPr>
        <w:spacing w:after="0" w:line="240" w:lineRule="auto"/>
        <w:rPr>
          <w:rFonts w:eastAsia="Times New Roman" w:cs="Times New Roman"/>
          <w:sz w:val="24"/>
          <w:szCs w:val="24"/>
        </w:rPr>
      </w:pPr>
      <w:r>
        <w:rPr>
          <w:rFonts w:eastAsia="Times New Roman" w:cs="Times New Roman"/>
          <w:sz w:val="24"/>
          <w:szCs w:val="24"/>
        </w:rPr>
        <w:t>See updated action item list from K. Tuttle</w:t>
      </w:r>
    </w:p>
    <w:p w:rsidR="00B60E35" w:rsidRDefault="00AD5822" w:rsidP="00837BF8">
      <w:pPr>
        <w:numPr>
          <w:ilvl w:val="0"/>
          <w:numId w:val="12"/>
        </w:numPr>
        <w:spacing w:after="0" w:line="240" w:lineRule="auto"/>
        <w:rPr>
          <w:rFonts w:eastAsia="Times New Roman" w:cs="Times New Roman"/>
          <w:sz w:val="24"/>
          <w:szCs w:val="24"/>
        </w:rPr>
      </w:pPr>
      <w:r w:rsidRPr="005C2000">
        <w:rPr>
          <w:rFonts w:eastAsia="Times New Roman" w:cs="Times New Roman"/>
          <w:sz w:val="24"/>
          <w:szCs w:val="24"/>
        </w:rPr>
        <w:t>Schedule book update</w:t>
      </w:r>
      <w:r w:rsidR="00BC6563" w:rsidRPr="005C2000">
        <w:rPr>
          <w:rFonts w:eastAsia="Times New Roman" w:cs="Times New Roman"/>
          <w:sz w:val="24"/>
          <w:szCs w:val="24"/>
        </w:rPr>
        <w:t xml:space="preserve"> </w:t>
      </w:r>
      <w:r w:rsidR="00837BF8">
        <w:rPr>
          <w:rFonts w:eastAsia="Times New Roman" w:cs="Times New Roman"/>
          <w:sz w:val="24"/>
          <w:szCs w:val="24"/>
        </w:rPr>
        <w:t>– one last bit of semantics – inclusion boundary</w:t>
      </w:r>
    </w:p>
    <w:p w:rsidR="00D74B84" w:rsidRDefault="00D74B84" w:rsidP="004C17A0">
      <w:pPr>
        <w:numPr>
          <w:ilvl w:val="1"/>
          <w:numId w:val="12"/>
        </w:numPr>
        <w:spacing w:after="0" w:line="240" w:lineRule="auto"/>
        <w:rPr>
          <w:rFonts w:eastAsia="Times New Roman" w:cs="Times New Roman"/>
          <w:sz w:val="24"/>
          <w:szCs w:val="24"/>
        </w:rPr>
      </w:pPr>
      <w:r>
        <w:rPr>
          <w:rFonts w:eastAsia="Times New Roman" w:cs="Times New Roman"/>
          <w:sz w:val="24"/>
          <w:szCs w:val="24"/>
        </w:rPr>
        <w:t>Conclusion is that it is preferable to indicate specification to the extent possible of the different inclusion semantics rather than allow for a multiplicity of agency produced semantics</w:t>
      </w:r>
    </w:p>
    <w:p w:rsidR="004C17A0" w:rsidRPr="00837BF8" w:rsidRDefault="00D74B84" w:rsidP="004C17A0">
      <w:pPr>
        <w:numPr>
          <w:ilvl w:val="1"/>
          <w:numId w:val="12"/>
        </w:numPr>
        <w:spacing w:after="0" w:line="240" w:lineRule="auto"/>
        <w:rPr>
          <w:rFonts w:eastAsia="Times New Roman" w:cs="Times New Roman"/>
          <w:sz w:val="24"/>
          <w:szCs w:val="24"/>
        </w:rPr>
      </w:pPr>
      <w:r>
        <w:rPr>
          <w:rFonts w:eastAsia="Times New Roman" w:cs="Times New Roman"/>
          <w:sz w:val="24"/>
          <w:szCs w:val="24"/>
        </w:rPr>
        <w:t xml:space="preserve">DSN to provide the inclusion semantics to C. </w:t>
      </w:r>
      <w:proofErr w:type="spellStart"/>
      <w:r>
        <w:rPr>
          <w:rFonts w:eastAsia="Times New Roman" w:cs="Times New Roman"/>
          <w:sz w:val="24"/>
          <w:szCs w:val="24"/>
        </w:rPr>
        <w:t>Haddow</w:t>
      </w:r>
      <w:proofErr w:type="spellEnd"/>
    </w:p>
    <w:p w:rsidR="005C2000" w:rsidRDefault="00C3132E" w:rsidP="00BC6563">
      <w:pPr>
        <w:numPr>
          <w:ilvl w:val="0"/>
          <w:numId w:val="12"/>
        </w:numPr>
        <w:spacing w:after="0" w:line="240" w:lineRule="auto"/>
        <w:rPr>
          <w:rFonts w:eastAsia="Times New Roman" w:cs="Times New Roman"/>
          <w:sz w:val="24"/>
          <w:szCs w:val="24"/>
        </w:rPr>
      </w:pPr>
      <w:r>
        <w:rPr>
          <w:rFonts w:eastAsia="Times New Roman" w:cs="Times New Roman"/>
          <w:sz w:val="24"/>
          <w:szCs w:val="24"/>
        </w:rPr>
        <w:t xml:space="preserve">Relative Events requirements assessment (inputs from NAV WG) </w:t>
      </w:r>
    </w:p>
    <w:p w:rsidR="00D74B84" w:rsidRDefault="00D74B84" w:rsidP="00D74B84">
      <w:pPr>
        <w:numPr>
          <w:ilvl w:val="1"/>
          <w:numId w:val="12"/>
        </w:numPr>
        <w:spacing w:after="0" w:line="240" w:lineRule="auto"/>
        <w:rPr>
          <w:rFonts w:eastAsia="Times New Roman" w:cs="Times New Roman"/>
          <w:sz w:val="24"/>
          <w:szCs w:val="24"/>
        </w:rPr>
      </w:pPr>
      <w:r>
        <w:rPr>
          <w:rFonts w:eastAsia="Times New Roman" w:cs="Times New Roman"/>
          <w:sz w:val="24"/>
          <w:szCs w:val="24"/>
        </w:rPr>
        <w:t>essentially overcome by events, as the latest PIF book has already incorporated this requirements</w:t>
      </w:r>
    </w:p>
    <w:p w:rsidR="00D74B84" w:rsidRDefault="00D74B84" w:rsidP="00D74B84">
      <w:pPr>
        <w:numPr>
          <w:ilvl w:val="1"/>
          <w:numId w:val="12"/>
        </w:numPr>
        <w:spacing w:after="0" w:line="240" w:lineRule="auto"/>
        <w:rPr>
          <w:rFonts w:eastAsia="Times New Roman" w:cs="Times New Roman"/>
          <w:sz w:val="24"/>
          <w:szCs w:val="24"/>
        </w:rPr>
      </w:pPr>
      <w:r>
        <w:rPr>
          <w:rFonts w:eastAsia="Times New Roman" w:cs="Times New Roman"/>
          <w:sz w:val="24"/>
          <w:szCs w:val="24"/>
        </w:rPr>
        <w:t>updates have been fed back to the navigation working group</w:t>
      </w:r>
    </w:p>
    <w:p w:rsidR="00D74B84" w:rsidRDefault="00D74B84" w:rsidP="00D74B84">
      <w:pPr>
        <w:numPr>
          <w:ilvl w:val="1"/>
          <w:numId w:val="12"/>
        </w:numPr>
        <w:spacing w:after="0" w:line="240" w:lineRule="auto"/>
        <w:rPr>
          <w:rFonts w:eastAsia="Times New Roman" w:cs="Times New Roman"/>
          <w:sz w:val="24"/>
          <w:szCs w:val="24"/>
        </w:rPr>
      </w:pPr>
      <w:r>
        <w:rPr>
          <w:rFonts w:eastAsia="Times New Roman" w:cs="Times New Roman"/>
          <w:sz w:val="24"/>
          <w:szCs w:val="24"/>
        </w:rPr>
        <w:t>CSSM working group is encouraged to start reviewing the book read suitability for red-1 agency review</w:t>
      </w:r>
    </w:p>
    <w:p w:rsidR="00C3132E" w:rsidRDefault="00C3132E" w:rsidP="00BC6563">
      <w:pPr>
        <w:numPr>
          <w:ilvl w:val="0"/>
          <w:numId w:val="12"/>
        </w:numPr>
        <w:spacing w:after="0" w:line="240" w:lineRule="auto"/>
        <w:rPr>
          <w:rFonts w:eastAsia="Times New Roman" w:cs="Times New Roman"/>
          <w:sz w:val="24"/>
          <w:szCs w:val="24"/>
        </w:rPr>
      </w:pPr>
      <w:r>
        <w:rPr>
          <w:rFonts w:eastAsia="Times New Roman" w:cs="Times New Roman"/>
          <w:sz w:val="24"/>
          <w:szCs w:val="24"/>
        </w:rPr>
        <w:t>Check on PIF XML Schema production</w:t>
      </w:r>
    </w:p>
    <w:p w:rsidR="00D74B84" w:rsidRDefault="00D74B84" w:rsidP="00D74B84">
      <w:pPr>
        <w:numPr>
          <w:ilvl w:val="1"/>
          <w:numId w:val="12"/>
        </w:numPr>
        <w:spacing w:after="0" w:line="240" w:lineRule="auto"/>
        <w:rPr>
          <w:rFonts w:eastAsia="Times New Roman" w:cs="Times New Roman"/>
          <w:sz w:val="24"/>
          <w:szCs w:val="24"/>
        </w:rPr>
      </w:pPr>
      <w:r>
        <w:rPr>
          <w:rFonts w:eastAsia="Times New Roman" w:cs="Times New Roman"/>
          <w:sz w:val="24"/>
          <w:szCs w:val="24"/>
        </w:rPr>
        <w:t xml:space="preserve">C. </w:t>
      </w:r>
      <w:proofErr w:type="spellStart"/>
      <w:r>
        <w:rPr>
          <w:rFonts w:eastAsia="Times New Roman" w:cs="Times New Roman"/>
          <w:sz w:val="24"/>
          <w:szCs w:val="24"/>
        </w:rPr>
        <w:t>Haddow</w:t>
      </w:r>
      <w:proofErr w:type="spellEnd"/>
      <w:r>
        <w:rPr>
          <w:rFonts w:eastAsia="Times New Roman" w:cs="Times New Roman"/>
          <w:sz w:val="24"/>
          <w:szCs w:val="24"/>
        </w:rPr>
        <w:t xml:space="preserve"> added as actionee for AI </w:t>
      </w:r>
    </w:p>
    <w:p w:rsidR="00C3132E" w:rsidRDefault="008232FB" w:rsidP="00BC6563">
      <w:pPr>
        <w:numPr>
          <w:ilvl w:val="0"/>
          <w:numId w:val="12"/>
        </w:numPr>
        <w:spacing w:after="0" w:line="240" w:lineRule="auto"/>
        <w:rPr>
          <w:rFonts w:eastAsia="Times New Roman" w:cs="Times New Roman"/>
          <w:sz w:val="24"/>
          <w:szCs w:val="24"/>
        </w:rPr>
      </w:pPr>
      <w:r>
        <w:rPr>
          <w:rFonts w:eastAsia="Times New Roman" w:cs="Times New Roman"/>
          <w:sz w:val="24"/>
          <w:szCs w:val="24"/>
        </w:rPr>
        <w:t>SMURF Test Plan status check</w:t>
      </w:r>
    </w:p>
    <w:p w:rsidR="00D74B84" w:rsidRDefault="00D74B84" w:rsidP="00D74B84">
      <w:pPr>
        <w:numPr>
          <w:ilvl w:val="1"/>
          <w:numId w:val="12"/>
        </w:numPr>
        <w:spacing w:after="0" w:line="240" w:lineRule="auto"/>
        <w:rPr>
          <w:rFonts w:eastAsia="Times New Roman" w:cs="Times New Roman"/>
          <w:sz w:val="24"/>
          <w:szCs w:val="24"/>
        </w:rPr>
      </w:pPr>
      <w:r>
        <w:rPr>
          <w:rFonts w:eastAsia="Times New Roman" w:cs="Times New Roman"/>
          <w:sz w:val="24"/>
          <w:szCs w:val="24"/>
        </w:rPr>
        <w:t>Noted that first draft is due on February 10</w:t>
      </w:r>
    </w:p>
    <w:p w:rsidR="008232FB" w:rsidRDefault="008232FB" w:rsidP="00BC6563">
      <w:pPr>
        <w:numPr>
          <w:ilvl w:val="0"/>
          <w:numId w:val="12"/>
        </w:numPr>
        <w:spacing w:after="0" w:line="240" w:lineRule="auto"/>
        <w:rPr>
          <w:rFonts w:eastAsia="Times New Roman" w:cs="Times New Roman"/>
          <w:sz w:val="24"/>
          <w:szCs w:val="24"/>
        </w:rPr>
      </w:pPr>
      <w:r>
        <w:rPr>
          <w:rFonts w:eastAsia="Times New Roman" w:cs="Times New Roman"/>
          <w:sz w:val="24"/>
          <w:szCs w:val="24"/>
        </w:rPr>
        <w:t xml:space="preserve">Service catalog review inputs </w:t>
      </w:r>
    </w:p>
    <w:p w:rsidR="00D74B84" w:rsidRPr="005C2000" w:rsidRDefault="00D74B84" w:rsidP="00D74B84">
      <w:pPr>
        <w:numPr>
          <w:ilvl w:val="1"/>
          <w:numId w:val="12"/>
        </w:numPr>
        <w:spacing w:after="0" w:line="240" w:lineRule="auto"/>
        <w:rPr>
          <w:rFonts w:eastAsia="Times New Roman" w:cs="Times New Roman"/>
          <w:sz w:val="24"/>
          <w:szCs w:val="24"/>
        </w:rPr>
      </w:pPr>
      <w:r>
        <w:rPr>
          <w:rFonts w:eastAsia="Times New Roman" w:cs="Times New Roman"/>
          <w:sz w:val="24"/>
          <w:szCs w:val="24"/>
        </w:rPr>
        <w:t xml:space="preserve">Postponed pending participant availability and inputs to be uploaded on behalf of M. Unal and J. Chamoun (M, Gnat’s comments already uploaded) </w:t>
      </w:r>
    </w:p>
    <w:p w:rsidR="00BC7876" w:rsidRDefault="00BC7876" w:rsidP="00B60E35">
      <w:pPr>
        <w:pStyle w:val="ListParagraph"/>
        <w:numPr>
          <w:ilvl w:val="0"/>
          <w:numId w:val="12"/>
        </w:numPr>
        <w:rPr>
          <w:rFonts w:eastAsia="Times New Roman" w:cs="Times New Roman"/>
          <w:sz w:val="24"/>
          <w:szCs w:val="24"/>
        </w:rPr>
      </w:pPr>
      <w:r w:rsidRPr="005C2000">
        <w:rPr>
          <w:rFonts w:eastAsia="Times New Roman" w:cs="Times New Roman"/>
          <w:sz w:val="24"/>
          <w:szCs w:val="24"/>
        </w:rPr>
        <w:t>A</w:t>
      </w:r>
      <w:r w:rsidR="007018DB" w:rsidRPr="005C2000">
        <w:rPr>
          <w:rFonts w:eastAsia="Times New Roman" w:cs="Times New Roman"/>
          <w:sz w:val="24"/>
          <w:szCs w:val="24"/>
        </w:rPr>
        <w:t>OB</w:t>
      </w:r>
    </w:p>
    <w:p w:rsidR="00D74B84" w:rsidRDefault="00915D36" w:rsidP="00915D36">
      <w:pPr>
        <w:pStyle w:val="ListParagraph"/>
        <w:numPr>
          <w:ilvl w:val="1"/>
          <w:numId w:val="12"/>
        </w:numPr>
        <w:rPr>
          <w:rFonts w:eastAsia="Times New Roman" w:cs="Times New Roman"/>
          <w:sz w:val="24"/>
          <w:szCs w:val="24"/>
        </w:rPr>
      </w:pPr>
      <w:r>
        <w:rPr>
          <w:rFonts w:eastAsia="Times New Roman" w:cs="Times New Roman"/>
          <w:sz w:val="24"/>
          <w:szCs w:val="24"/>
        </w:rPr>
        <w:t>XFDU considerations</w:t>
      </w:r>
      <w:r w:rsidR="00891090">
        <w:rPr>
          <w:rFonts w:eastAsia="Times New Roman" w:cs="Times New Roman"/>
          <w:sz w:val="24"/>
          <w:szCs w:val="24"/>
        </w:rPr>
        <w:t xml:space="preserve"> for TGFT </w:t>
      </w:r>
    </w:p>
    <w:p w:rsidR="00915D36" w:rsidRDefault="00915D36" w:rsidP="00D74B84">
      <w:pPr>
        <w:pStyle w:val="ListParagraph"/>
        <w:numPr>
          <w:ilvl w:val="2"/>
          <w:numId w:val="12"/>
        </w:numPr>
        <w:rPr>
          <w:rFonts w:eastAsia="Times New Roman" w:cs="Times New Roman"/>
          <w:sz w:val="24"/>
          <w:szCs w:val="24"/>
        </w:rPr>
      </w:pPr>
      <w:r>
        <w:rPr>
          <w:rFonts w:eastAsia="Times New Roman" w:cs="Times New Roman"/>
          <w:sz w:val="24"/>
          <w:szCs w:val="24"/>
        </w:rPr>
        <w:t xml:space="preserve"> </w:t>
      </w:r>
      <w:r w:rsidR="00891090">
        <w:rPr>
          <w:rFonts w:eastAsia="Times New Roman" w:cs="Times New Roman"/>
          <w:sz w:val="24"/>
          <w:szCs w:val="24"/>
        </w:rPr>
        <w:t xml:space="preserve">Different levels of XFDU “hierarchy” identified </w:t>
      </w:r>
    </w:p>
    <w:p w:rsidR="00891090" w:rsidRDefault="00891090" w:rsidP="00D74B84">
      <w:pPr>
        <w:pStyle w:val="ListParagraph"/>
        <w:numPr>
          <w:ilvl w:val="2"/>
          <w:numId w:val="12"/>
        </w:numPr>
        <w:rPr>
          <w:rFonts w:eastAsia="Times New Roman" w:cs="Times New Roman"/>
          <w:sz w:val="24"/>
          <w:szCs w:val="24"/>
        </w:rPr>
      </w:pPr>
      <w:r>
        <w:rPr>
          <w:rFonts w:eastAsia="Times New Roman" w:cs="Times New Roman"/>
          <w:sz w:val="24"/>
          <w:szCs w:val="24"/>
        </w:rPr>
        <w:t>Discussion as to what level of the hierarchy is appropriate for TGFT</w:t>
      </w:r>
    </w:p>
    <w:p w:rsidR="00891090" w:rsidRDefault="00891090" w:rsidP="00D74B84">
      <w:pPr>
        <w:pStyle w:val="ListParagraph"/>
        <w:numPr>
          <w:ilvl w:val="2"/>
          <w:numId w:val="12"/>
        </w:numPr>
        <w:rPr>
          <w:rFonts w:eastAsia="Times New Roman" w:cs="Times New Roman"/>
          <w:sz w:val="24"/>
          <w:szCs w:val="24"/>
        </w:rPr>
      </w:pPr>
      <w:r>
        <w:rPr>
          <w:rFonts w:eastAsia="Times New Roman" w:cs="Times New Roman"/>
          <w:sz w:val="24"/>
          <w:szCs w:val="24"/>
        </w:rPr>
        <w:t xml:space="preserve">Conclusion is to keep this with the scoping of a single delivery and not a more involved “ecosystem” supported by XFDU in general; </w:t>
      </w:r>
      <w:proofErr w:type="spellStart"/>
      <w:r>
        <w:rPr>
          <w:rFonts w:eastAsia="Times New Roman" w:cs="Times New Roman"/>
          <w:sz w:val="24"/>
          <w:szCs w:val="24"/>
        </w:rPr>
        <w:t>ie</w:t>
      </w:r>
      <w:proofErr w:type="spellEnd"/>
      <w:r>
        <w:rPr>
          <w:rFonts w:eastAsia="Times New Roman" w:cs="Times New Roman"/>
          <w:sz w:val="24"/>
          <w:szCs w:val="24"/>
        </w:rPr>
        <w:t xml:space="preserve"> stick with the XFDU “Package” for TGFT</w:t>
      </w:r>
    </w:p>
    <w:p w:rsidR="00891090" w:rsidRDefault="00891090" w:rsidP="00D74B84">
      <w:pPr>
        <w:pStyle w:val="ListParagraph"/>
        <w:numPr>
          <w:ilvl w:val="2"/>
          <w:numId w:val="12"/>
        </w:numPr>
        <w:rPr>
          <w:rFonts w:eastAsia="Times New Roman" w:cs="Times New Roman"/>
          <w:sz w:val="24"/>
          <w:szCs w:val="24"/>
        </w:rPr>
      </w:pPr>
      <w:r>
        <w:rPr>
          <w:rFonts w:eastAsia="Times New Roman" w:cs="Times New Roman"/>
          <w:sz w:val="24"/>
          <w:szCs w:val="24"/>
        </w:rPr>
        <w:t xml:space="preserve">See slides developed by J. Pietras, included below, for more detail </w:t>
      </w:r>
    </w:p>
    <w:p w:rsidR="003450A5" w:rsidRDefault="003450A5" w:rsidP="00915D36">
      <w:pPr>
        <w:pStyle w:val="ListParagraph"/>
        <w:numPr>
          <w:ilvl w:val="1"/>
          <w:numId w:val="12"/>
        </w:numPr>
        <w:rPr>
          <w:rFonts w:eastAsia="Times New Roman" w:cs="Times New Roman"/>
          <w:sz w:val="24"/>
          <w:szCs w:val="24"/>
        </w:rPr>
      </w:pPr>
      <w:r>
        <w:rPr>
          <w:rFonts w:eastAsia="Times New Roman" w:cs="Times New Roman"/>
          <w:sz w:val="24"/>
          <w:szCs w:val="24"/>
        </w:rPr>
        <w:t xml:space="preserve">Next </w:t>
      </w:r>
      <w:proofErr w:type="spellStart"/>
      <w:r>
        <w:rPr>
          <w:rFonts w:eastAsia="Times New Roman" w:cs="Times New Roman"/>
          <w:sz w:val="24"/>
          <w:szCs w:val="24"/>
        </w:rPr>
        <w:t>telecon</w:t>
      </w:r>
      <w:proofErr w:type="spellEnd"/>
      <w:r>
        <w:rPr>
          <w:rFonts w:eastAsia="Times New Roman" w:cs="Times New Roman"/>
          <w:sz w:val="24"/>
          <w:szCs w:val="24"/>
        </w:rPr>
        <w:t xml:space="preserve"> date adjustmen</w:t>
      </w:r>
      <w:r w:rsidR="00C350CE">
        <w:rPr>
          <w:rFonts w:eastAsia="Times New Roman" w:cs="Times New Roman"/>
          <w:sz w:val="24"/>
          <w:szCs w:val="24"/>
        </w:rPr>
        <w:t>t</w:t>
      </w:r>
    </w:p>
    <w:p w:rsidR="00D74B84" w:rsidRDefault="00D74B84" w:rsidP="00D74B84">
      <w:pPr>
        <w:pStyle w:val="ListParagraph"/>
        <w:numPr>
          <w:ilvl w:val="2"/>
          <w:numId w:val="12"/>
        </w:numPr>
        <w:rPr>
          <w:rFonts w:eastAsia="Times New Roman" w:cs="Times New Roman"/>
          <w:sz w:val="24"/>
          <w:szCs w:val="24"/>
        </w:rPr>
      </w:pPr>
      <w:r>
        <w:rPr>
          <w:rFonts w:eastAsia="Times New Roman" w:cs="Times New Roman"/>
          <w:sz w:val="24"/>
          <w:szCs w:val="24"/>
        </w:rPr>
        <w:lastRenderedPageBreak/>
        <w:t>February 15</w:t>
      </w:r>
      <w:r w:rsidRPr="00D74B84">
        <w:rPr>
          <w:rFonts w:eastAsia="Times New Roman" w:cs="Times New Roman"/>
          <w:sz w:val="24"/>
          <w:szCs w:val="24"/>
          <w:vertAlign w:val="superscript"/>
        </w:rPr>
        <w:t>th</w:t>
      </w:r>
      <w:r>
        <w:rPr>
          <w:rFonts w:eastAsia="Times New Roman" w:cs="Times New Roman"/>
          <w:sz w:val="24"/>
          <w:szCs w:val="24"/>
        </w:rPr>
        <w:t xml:space="preserve"> determined as best date </w:t>
      </w:r>
    </w:p>
    <w:p w:rsidR="003450A5" w:rsidRDefault="00492360" w:rsidP="00915D36">
      <w:pPr>
        <w:pStyle w:val="ListParagraph"/>
        <w:numPr>
          <w:ilvl w:val="1"/>
          <w:numId w:val="12"/>
        </w:numPr>
        <w:rPr>
          <w:rFonts w:eastAsia="Times New Roman" w:cs="Times New Roman"/>
          <w:sz w:val="24"/>
          <w:szCs w:val="24"/>
        </w:rPr>
      </w:pPr>
      <w:r>
        <w:rPr>
          <w:rFonts w:eastAsia="Times New Roman" w:cs="Times New Roman"/>
          <w:sz w:val="24"/>
          <w:szCs w:val="24"/>
        </w:rPr>
        <w:t xml:space="preserve">CWE structure </w:t>
      </w:r>
    </w:p>
    <w:p w:rsidR="00891090" w:rsidRDefault="00891090" w:rsidP="00891090">
      <w:pPr>
        <w:pStyle w:val="ListParagraph"/>
        <w:numPr>
          <w:ilvl w:val="2"/>
          <w:numId w:val="12"/>
        </w:numPr>
        <w:rPr>
          <w:rFonts w:eastAsia="Times New Roman" w:cs="Times New Roman"/>
          <w:sz w:val="24"/>
          <w:szCs w:val="24"/>
        </w:rPr>
      </w:pPr>
      <w:r>
        <w:rPr>
          <w:rFonts w:eastAsia="Times New Roman" w:cs="Times New Roman"/>
          <w:sz w:val="24"/>
          <w:szCs w:val="24"/>
        </w:rPr>
        <w:t>In general, revised structure looks good</w:t>
      </w:r>
    </w:p>
    <w:p w:rsidR="00891090" w:rsidRDefault="00891090" w:rsidP="00891090">
      <w:pPr>
        <w:pStyle w:val="ListParagraph"/>
        <w:numPr>
          <w:ilvl w:val="3"/>
          <w:numId w:val="12"/>
        </w:numPr>
        <w:rPr>
          <w:rFonts w:eastAsia="Times New Roman" w:cs="Times New Roman"/>
          <w:sz w:val="24"/>
          <w:szCs w:val="24"/>
        </w:rPr>
      </w:pPr>
      <w:r>
        <w:rPr>
          <w:rFonts w:eastAsia="Times New Roman" w:cs="Times New Roman"/>
          <w:sz w:val="24"/>
          <w:szCs w:val="24"/>
        </w:rPr>
        <w:t xml:space="preserve">Some minor tweaks made during the </w:t>
      </w:r>
      <w:proofErr w:type="spellStart"/>
      <w:r>
        <w:rPr>
          <w:rFonts w:eastAsia="Times New Roman" w:cs="Times New Roman"/>
          <w:sz w:val="24"/>
          <w:szCs w:val="24"/>
        </w:rPr>
        <w:t>telcon</w:t>
      </w:r>
      <w:proofErr w:type="spellEnd"/>
    </w:p>
    <w:p w:rsidR="00891090" w:rsidRDefault="00891090" w:rsidP="00891090">
      <w:pPr>
        <w:pStyle w:val="ListParagraph"/>
        <w:numPr>
          <w:ilvl w:val="2"/>
          <w:numId w:val="12"/>
        </w:numPr>
        <w:rPr>
          <w:rFonts w:eastAsia="Times New Roman" w:cs="Times New Roman"/>
          <w:sz w:val="24"/>
          <w:szCs w:val="24"/>
        </w:rPr>
      </w:pPr>
      <w:r>
        <w:rPr>
          <w:rFonts w:eastAsia="Times New Roman" w:cs="Times New Roman"/>
          <w:sz w:val="24"/>
          <w:szCs w:val="24"/>
        </w:rPr>
        <w:t xml:space="preserve">Action to E. Barkley to query H. Dreihahn re any schema maintenance considerations </w:t>
      </w:r>
    </w:p>
    <w:p w:rsidR="00891090" w:rsidRPr="005C2000" w:rsidRDefault="00891090" w:rsidP="00891090">
      <w:pPr>
        <w:pStyle w:val="ListParagraph"/>
        <w:numPr>
          <w:ilvl w:val="2"/>
          <w:numId w:val="12"/>
        </w:numPr>
        <w:rPr>
          <w:rFonts w:eastAsia="Times New Roman" w:cs="Times New Roman"/>
          <w:sz w:val="24"/>
          <w:szCs w:val="24"/>
        </w:rPr>
      </w:pPr>
      <w:r>
        <w:rPr>
          <w:rFonts w:eastAsia="Times New Roman" w:cs="Times New Roman"/>
          <w:sz w:val="24"/>
          <w:szCs w:val="24"/>
        </w:rPr>
        <w:t xml:space="preserve">To the extent possible, an approach for implementation whereby the new directory structure is created in an entirely new space and then files the migrated to the new structure before retiring the current structure is advocated </w:t>
      </w:r>
      <w:proofErr w:type="spellStart"/>
      <w:r>
        <w:rPr>
          <w:rFonts w:eastAsia="Times New Roman" w:cs="Times New Roman"/>
          <w:sz w:val="24"/>
          <w:szCs w:val="24"/>
        </w:rPr>
        <w:t>advocated</w:t>
      </w:r>
      <w:proofErr w:type="spellEnd"/>
    </w:p>
    <w:p w:rsidR="005C2000" w:rsidRPr="005C2000" w:rsidRDefault="005C2000" w:rsidP="00C3132E">
      <w:pPr>
        <w:pStyle w:val="ListParagraph"/>
        <w:ind w:left="1440"/>
        <w:rPr>
          <w:rFonts w:eastAsia="Times New Roman" w:cs="Times New Roman"/>
          <w:sz w:val="24"/>
          <w:szCs w:val="24"/>
        </w:rPr>
      </w:pPr>
    </w:p>
    <w:p w:rsidR="00D60390" w:rsidRDefault="00DF4376" w:rsidP="00D60390">
      <w:pPr>
        <w:pStyle w:val="Heading1"/>
      </w:pPr>
      <w:r>
        <w:t xml:space="preserve">Next </w:t>
      </w:r>
      <w:proofErr w:type="spellStart"/>
      <w:r>
        <w:t>Telecon</w:t>
      </w:r>
      <w:proofErr w:type="spellEnd"/>
    </w:p>
    <w:p w:rsidR="00D74B84" w:rsidRPr="00D74B84" w:rsidRDefault="00D74B84" w:rsidP="00D74B84">
      <w:r>
        <w:t>Our next teleconference is scheduled for February 15, 2017</w:t>
      </w:r>
    </w:p>
    <w:p w:rsidR="001D68A6" w:rsidRDefault="006C18D4" w:rsidP="00DF4376">
      <w:r>
        <w:t>[end notes]</w:t>
      </w:r>
    </w:p>
    <w:p w:rsidR="00D74B84" w:rsidRDefault="00D74B84" w:rsidP="00DF4376"/>
    <w:p w:rsidR="00D74B84" w:rsidRDefault="00D74B84" w:rsidP="00DF4376">
      <w:r w:rsidRPr="00D74B84">
        <w:drawing>
          <wp:inline distT="0" distB="0" distL="0" distR="0" wp14:anchorId="5B80831D" wp14:editId="758940D8">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638" cy="3429479"/>
                    </a:xfrm>
                    <a:prstGeom prst="rect">
                      <a:avLst/>
                    </a:prstGeom>
                  </pic:spPr>
                </pic:pic>
              </a:graphicData>
            </a:graphic>
          </wp:inline>
        </w:drawing>
      </w:r>
    </w:p>
    <w:p w:rsidR="00891090" w:rsidRDefault="00891090" w:rsidP="00DF4376">
      <w:r w:rsidRPr="00891090">
        <w:lastRenderedPageBreak/>
        <w:drawing>
          <wp:inline distT="0" distB="0" distL="0" distR="0" wp14:anchorId="45F870DE" wp14:editId="40C0844D">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891090" w:rsidRDefault="00891090" w:rsidP="00DF4376">
      <w:r w:rsidRPr="00891090">
        <w:drawing>
          <wp:inline distT="0" distB="0" distL="0" distR="0" wp14:anchorId="0ABD1E77" wp14:editId="6BF2745B">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891090" w:rsidRDefault="00891090" w:rsidP="00DF4376">
      <w:r w:rsidRPr="00891090">
        <w:lastRenderedPageBreak/>
        <w:drawing>
          <wp:inline distT="0" distB="0" distL="0" distR="0" wp14:anchorId="3637A5D2" wp14:editId="4BE26850">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sectPr w:rsidR="00891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1BF5"/>
    <w:multiLevelType w:val="hybridMultilevel"/>
    <w:tmpl w:val="5E8EF5E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91196"/>
    <w:multiLevelType w:val="hybridMultilevel"/>
    <w:tmpl w:val="3B50F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F7318"/>
    <w:multiLevelType w:val="multilevel"/>
    <w:tmpl w:val="70A4D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984047"/>
    <w:multiLevelType w:val="hybridMultilevel"/>
    <w:tmpl w:val="6E96CDF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B074927"/>
    <w:multiLevelType w:val="hybridMultilevel"/>
    <w:tmpl w:val="7B84EC68"/>
    <w:lvl w:ilvl="0" w:tplc="6E0053BA">
      <w:start w:val="1"/>
      <w:numFmt w:val="decimal"/>
      <w:lvlText w:val="%1)"/>
      <w:lvlJc w:val="left"/>
      <w:pPr>
        <w:ind w:left="24" w:hanging="384"/>
      </w:pPr>
      <w:rPr>
        <w:color w:val="1F497D"/>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4B9719A7"/>
    <w:multiLevelType w:val="hybridMultilevel"/>
    <w:tmpl w:val="E6665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B5C7E"/>
    <w:multiLevelType w:val="hybridMultilevel"/>
    <w:tmpl w:val="B4D612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403D0A"/>
    <w:multiLevelType w:val="hybridMultilevel"/>
    <w:tmpl w:val="23F4946C"/>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603E7894"/>
    <w:multiLevelType w:val="hybridMultilevel"/>
    <w:tmpl w:val="4440A3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BD7C67"/>
    <w:multiLevelType w:val="hybridMultilevel"/>
    <w:tmpl w:val="F286C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D765A"/>
    <w:multiLevelType w:val="hybridMultilevel"/>
    <w:tmpl w:val="0E3EB4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15077"/>
    <w:multiLevelType w:val="hybridMultilevel"/>
    <w:tmpl w:val="5F861FF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778E4"/>
    <w:multiLevelType w:val="multilevel"/>
    <w:tmpl w:val="11DC9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11"/>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580D51-EB97-463D-AAF1-3428B192A228}"/>
    <w:docVar w:name="dgnword-eventsink" w:val="421463576"/>
  </w:docVars>
  <w:rsids>
    <w:rsidRoot w:val="00C3228F"/>
    <w:rsid w:val="00002A46"/>
    <w:rsid w:val="00010239"/>
    <w:rsid w:val="00013287"/>
    <w:rsid w:val="00022E01"/>
    <w:rsid w:val="000249C3"/>
    <w:rsid w:val="000533F6"/>
    <w:rsid w:val="00067139"/>
    <w:rsid w:val="00092F5F"/>
    <w:rsid w:val="000B5348"/>
    <w:rsid w:val="000C100C"/>
    <w:rsid w:val="000C72BF"/>
    <w:rsid w:val="000F7125"/>
    <w:rsid w:val="0011018B"/>
    <w:rsid w:val="00115E39"/>
    <w:rsid w:val="00120797"/>
    <w:rsid w:val="00154DED"/>
    <w:rsid w:val="001709C5"/>
    <w:rsid w:val="00184B14"/>
    <w:rsid w:val="0018758B"/>
    <w:rsid w:val="001A7744"/>
    <w:rsid w:val="001D68A6"/>
    <w:rsid w:val="001E01E2"/>
    <w:rsid w:val="00217B83"/>
    <w:rsid w:val="00220478"/>
    <w:rsid w:val="0022052B"/>
    <w:rsid w:val="002429D6"/>
    <w:rsid w:val="002475C9"/>
    <w:rsid w:val="00257E10"/>
    <w:rsid w:val="00275F4B"/>
    <w:rsid w:val="002879D6"/>
    <w:rsid w:val="00293A40"/>
    <w:rsid w:val="002C40F3"/>
    <w:rsid w:val="002C7230"/>
    <w:rsid w:val="002F006D"/>
    <w:rsid w:val="0030498A"/>
    <w:rsid w:val="00327253"/>
    <w:rsid w:val="00331030"/>
    <w:rsid w:val="003450A5"/>
    <w:rsid w:val="00363F12"/>
    <w:rsid w:val="00385BC7"/>
    <w:rsid w:val="00396C00"/>
    <w:rsid w:val="003C0705"/>
    <w:rsid w:val="003C73B0"/>
    <w:rsid w:val="00417959"/>
    <w:rsid w:val="004228F1"/>
    <w:rsid w:val="004562F0"/>
    <w:rsid w:val="00492360"/>
    <w:rsid w:val="004C17A0"/>
    <w:rsid w:val="004C3ED6"/>
    <w:rsid w:val="004D771D"/>
    <w:rsid w:val="004E0C7E"/>
    <w:rsid w:val="00540ACD"/>
    <w:rsid w:val="005418A3"/>
    <w:rsid w:val="00561944"/>
    <w:rsid w:val="0057124A"/>
    <w:rsid w:val="005776CA"/>
    <w:rsid w:val="00594758"/>
    <w:rsid w:val="005C0E2B"/>
    <w:rsid w:val="005C2000"/>
    <w:rsid w:val="005D7984"/>
    <w:rsid w:val="005E5257"/>
    <w:rsid w:val="00603634"/>
    <w:rsid w:val="00615FE4"/>
    <w:rsid w:val="00616E8C"/>
    <w:rsid w:val="006728F6"/>
    <w:rsid w:val="00680CE7"/>
    <w:rsid w:val="006A5062"/>
    <w:rsid w:val="006B46BA"/>
    <w:rsid w:val="006C18D4"/>
    <w:rsid w:val="006D27A1"/>
    <w:rsid w:val="0070114F"/>
    <w:rsid w:val="007018DB"/>
    <w:rsid w:val="007109B7"/>
    <w:rsid w:val="007122C5"/>
    <w:rsid w:val="0074036F"/>
    <w:rsid w:val="0074270D"/>
    <w:rsid w:val="0076440B"/>
    <w:rsid w:val="00773606"/>
    <w:rsid w:val="00794AE8"/>
    <w:rsid w:val="007B46B5"/>
    <w:rsid w:val="007C05F0"/>
    <w:rsid w:val="008204AD"/>
    <w:rsid w:val="008232FB"/>
    <w:rsid w:val="00837BF8"/>
    <w:rsid w:val="00860CAC"/>
    <w:rsid w:val="00863A0D"/>
    <w:rsid w:val="008707B2"/>
    <w:rsid w:val="00891090"/>
    <w:rsid w:val="008A2C16"/>
    <w:rsid w:val="008A3639"/>
    <w:rsid w:val="008B69B4"/>
    <w:rsid w:val="008C20DE"/>
    <w:rsid w:val="008F4CE7"/>
    <w:rsid w:val="00915D36"/>
    <w:rsid w:val="00916453"/>
    <w:rsid w:val="00932F93"/>
    <w:rsid w:val="00954287"/>
    <w:rsid w:val="00974D52"/>
    <w:rsid w:val="009A604C"/>
    <w:rsid w:val="009E2DE7"/>
    <w:rsid w:val="009F0BBA"/>
    <w:rsid w:val="00A17160"/>
    <w:rsid w:val="00AC3832"/>
    <w:rsid w:val="00AD29DB"/>
    <w:rsid w:val="00AD5822"/>
    <w:rsid w:val="00AE42FA"/>
    <w:rsid w:val="00AF2A0E"/>
    <w:rsid w:val="00AF2DD1"/>
    <w:rsid w:val="00AF32D7"/>
    <w:rsid w:val="00B43A7C"/>
    <w:rsid w:val="00B52AD4"/>
    <w:rsid w:val="00B540C7"/>
    <w:rsid w:val="00B60E35"/>
    <w:rsid w:val="00B77C2B"/>
    <w:rsid w:val="00B90EA0"/>
    <w:rsid w:val="00BA2B91"/>
    <w:rsid w:val="00BC6563"/>
    <w:rsid w:val="00BC7876"/>
    <w:rsid w:val="00BD3E82"/>
    <w:rsid w:val="00C05D4F"/>
    <w:rsid w:val="00C15822"/>
    <w:rsid w:val="00C3132E"/>
    <w:rsid w:val="00C3228F"/>
    <w:rsid w:val="00C350CE"/>
    <w:rsid w:val="00C36B9E"/>
    <w:rsid w:val="00C551D3"/>
    <w:rsid w:val="00C61A4A"/>
    <w:rsid w:val="00C624E6"/>
    <w:rsid w:val="00C745BA"/>
    <w:rsid w:val="00C875FC"/>
    <w:rsid w:val="00CB27D3"/>
    <w:rsid w:val="00CC01B1"/>
    <w:rsid w:val="00CD7B43"/>
    <w:rsid w:val="00CF4A0C"/>
    <w:rsid w:val="00D21F02"/>
    <w:rsid w:val="00D22A2F"/>
    <w:rsid w:val="00D60390"/>
    <w:rsid w:val="00D636CE"/>
    <w:rsid w:val="00D74B84"/>
    <w:rsid w:val="00D75DA8"/>
    <w:rsid w:val="00D848F6"/>
    <w:rsid w:val="00D84B8B"/>
    <w:rsid w:val="00DF4376"/>
    <w:rsid w:val="00E1407E"/>
    <w:rsid w:val="00E307AD"/>
    <w:rsid w:val="00E45FEA"/>
    <w:rsid w:val="00E5044D"/>
    <w:rsid w:val="00E53B3B"/>
    <w:rsid w:val="00E64317"/>
    <w:rsid w:val="00EF033F"/>
    <w:rsid w:val="00EF5C98"/>
    <w:rsid w:val="00F13788"/>
    <w:rsid w:val="00F14580"/>
    <w:rsid w:val="00F43744"/>
    <w:rsid w:val="00F44651"/>
    <w:rsid w:val="00F71E16"/>
    <w:rsid w:val="00F82F0D"/>
    <w:rsid w:val="00F93AD7"/>
    <w:rsid w:val="00FA1B8E"/>
    <w:rsid w:val="00FA200D"/>
    <w:rsid w:val="00FA6A62"/>
    <w:rsid w:val="00FE2F3C"/>
    <w:rsid w:val="00FF1997"/>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9459E-7AED-4465-B3BF-7F8B9C39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semiHidden/>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F2B8-6C4A-47B4-9AFD-F48AFCF2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2</cp:revision>
  <dcterms:created xsi:type="dcterms:W3CDTF">2017-01-17T18:13:00Z</dcterms:created>
  <dcterms:modified xsi:type="dcterms:W3CDTF">2017-01-17T18:13:00Z</dcterms:modified>
</cp:coreProperties>
</file>