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160EB0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CB3443">
        <w:rPr>
          <w:b/>
          <w:sz w:val="28"/>
          <w:szCs w:val="28"/>
        </w:rPr>
        <w:t xml:space="preserve"> August</w:t>
      </w:r>
      <w:r w:rsidR="00B572F8">
        <w:rPr>
          <w:b/>
          <w:sz w:val="28"/>
          <w:szCs w:val="28"/>
        </w:rPr>
        <w:t xml:space="preserve"> 2014</w:t>
      </w:r>
      <w:r w:rsidR="00B10DEB" w:rsidRPr="00E60BE8">
        <w:rPr>
          <w:b/>
          <w:sz w:val="28"/>
          <w:szCs w:val="28"/>
        </w:rPr>
        <w:t xml:space="preserve"> 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C049D2" w:rsidRDefault="00B10DEB" w:rsidP="00C049D2">
      <w:r>
        <w:t>E. Barkley</w:t>
      </w:r>
    </w:p>
    <w:p w:rsidR="00160EB0" w:rsidRDefault="00160EB0" w:rsidP="00C049D2">
      <w:r>
        <w:t>D. Bittner</w:t>
      </w:r>
    </w:p>
    <w:p w:rsidR="001A7903" w:rsidRDefault="00267D6C" w:rsidP="00C049D2">
      <w:r>
        <w:t>A. Crowson</w:t>
      </w:r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160EB0" w:rsidRDefault="00160EB0" w:rsidP="00C049D2">
      <w:r>
        <w:t xml:space="preserve">H. </w:t>
      </w:r>
      <w:proofErr w:type="spellStart"/>
      <w:r>
        <w:t>Kelliher</w:t>
      </w:r>
      <w:proofErr w:type="spellEnd"/>
    </w:p>
    <w:p w:rsidR="00DC4062" w:rsidRDefault="00DC4062" w:rsidP="00DC4062">
      <w:r>
        <w:t xml:space="preserve">U. </w:t>
      </w:r>
      <w:r w:rsidRPr="00DC4062">
        <w:t>Müller-</w:t>
      </w:r>
      <w:proofErr w:type="spellStart"/>
      <w:r w:rsidRPr="00DC4062">
        <w:t>Wilm</w:t>
      </w:r>
      <w:proofErr w:type="spellEnd"/>
      <w:r w:rsidRPr="00DC4062">
        <w:t xml:space="preserve"> </w:t>
      </w:r>
    </w:p>
    <w:p w:rsidR="008D354F" w:rsidRDefault="008D354F" w:rsidP="008D354F">
      <w:r>
        <w:t xml:space="preserve">P. </w:t>
      </w:r>
      <w:proofErr w:type="spellStart"/>
      <w:r>
        <w:t>Pechkam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8D354F" w:rsidRDefault="008D354F" w:rsidP="00B10DEB">
      <w:r>
        <w:t xml:space="preserve">J. </w:t>
      </w:r>
      <w:proofErr w:type="spellStart"/>
      <w:r>
        <w:t>Reinert</w:t>
      </w:r>
      <w:proofErr w:type="spellEnd"/>
    </w:p>
    <w:p w:rsidR="008D354F" w:rsidRDefault="008D354F" w:rsidP="00B10DEB">
      <w:r>
        <w:t>K. Tuttle</w:t>
      </w:r>
    </w:p>
    <w:p w:rsidR="00B10DEB" w:rsidRDefault="00B10DEB" w:rsidP="00B10DEB"/>
    <w:p w:rsidR="00B10DEB" w:rsidRPr="006F3981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B35A0D" w:rsidRPr="006F3981">
        <w:rPr>
          <w:sz w:val="28"/>
          <w:szCs w:val="28"/>
        </w:rPr>
        <w:t xml:space="preserve"> </w:t>
      </w:r>
    </w:p>
    <w:p w:rsidR="00C049D2" w:rsidRDefault="00B10DEB" w:rsidP="00C049D2">
      <w:r>
        <w:t xml:space="preserve"> </w:t>
      </w:r>
    </w:p>
    <w:p w:rsidR="00DC4062" w:rsidRDefault="005E66E5" w:rsidP="00DC4062">
      <w:pPr>
        <w:pStyle w:val="ListParagraph"/>
        <w:numPr>
          <w:ilvl w:val="0"/>
          <w:numId w:val="34"/>
        </w:numPr>
        <w:contextualSpacing w:val="0"/>
        <w:rPr>
          <w:color w:val="1F497D"/>
          <w:sz w:val="22"/>
          <w:szCs w:val="22"/>
        </w:rPr>
      </w:pPr>
      <w:r>
        <w:rPr>
          <w:color w:val="1F497D"/>
        </w:rPr>
        <w:t>Action</w:t>
      </w:r>
      <w:r w:rsidR="00DC4062">
        <w:rPr>
          <w:color w:val="1F497D"/>
        </w:rPr>
        <w:t xml:space="preserve"> </w:t>
      </w:r>
      <w:r w:rsidR="00D2192B">
        <w:rPr>
          <w:color w:val="1F497D"/>
        </w:rPr>
        <w:t>Items</w:t>
      </w:r>
      <w:r w:rsidR="00DC4062">
        <w:rPr>
          <w:color w:val="1F497D"/>
        </w:rPr>
        <w:t xml:space="preserve"> review</w:t>
      </w:r>
    </w:p>
    <w:p w:rsidR="00DC4062" w:rsidRDefault="005E66E5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Comments</w:t>
      </w:r>
      <w:r w:rsidR="00DC4062">
        <w:rPr>
          <w:color w:val="1F497D"/>
        </w:rPr>
        <w:t xml:space="preserve"> on the schedule of services test report</w:t>
      </w:r>
    </w:p>
    <w:p w:rsidR="00DC4062" w:rsidRDefault="005E66E5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Comment/Walk-Through</w:t>
      </w:r>
      <w:r w:rsidR="00DC4062">
        <w:rPr>
          <w:color w:val="1F497D"/>
        </w:rPr>
        <w:t xml:space="preserve"> on the latest planning information draft recommendation</w:t>
      </w:r>
    </w:p>
    <w:p w:rsidR="00DC4062" w:rsidRDefault="005E66E5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Comment/Walk-Through</w:t>
      </w:r>
      <w:r w:rsidR="00DC4062">
        <w:rPr>
          <w:color w:val="1F497D"/>
        </w:rPr>
        <w:t xml:space="preserve"> on the latest generic file transfer concept</w:t>
      </w:r>
    </w:p>
    <w:p w:rsidR="00DC4062" w:rsidRDefault="005E66E5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Comment/Walk-Through</w:t>
      </w:r>
      <w:r w:rsidR="00DC4062">
        <w:rPr>
          <w:color w:val="1F497D"/>
        </w:rPr>
        <w:t xml:space="preserve"> on event sequence extensibility write up (see email from P. </w:t>
      </w:r>
      <w:proofErr w:type="spellStart"/>
      <w:r w:rsidR="00DC4062">
        <w:rPr>
          <w:color w:val="1F497D"/>
        </w:rPr>
        <w:t>Pechkam</w:t>
      </w:r>
      <w:proofErr w:type="spellEnd"/>
      <w:r w:rsidR="00DC4062">
        <w:rPr>
          <w:color w:val="1F497D"/>
        </w:rPr>
        <w:t>)</w:t>
      </w:r>
    </w:p>
    <w:p w:rsidR="00DC4062" w:rsidRDefault="00DC4062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Follow-up re inter-recommendation discussion</w:t>
      </w:r>
    </w:p>
    <w:p w:rsidR="00DC4062" w:rsidRDefault="00DC4062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“Backlog” re items that need follow-up</w:t>
      </w:r>
    </w:p>
    <w:p w:rsidR="00DC4062" w:rsidRDefault="00DC4062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London meetings planning</w:t>
      </w:r>
    </w:p>
    <w:p w:rsidR="00DC4062" w:rsidRDefault="00DC4062" w:rsidP="00DC4062">
      <w:pPr>
        <w:pStyle w:val="ListParagraph"/>
        <w:numPr>
          <w:ilvl w:val="0"/>
          <w:numId w:val="34"/>
        </w:numPr>
        <w:contextualSpacing w:val="0"/>
        <w:rPr>
          <w:color w:val="1F497D"/>
        </w:rPr>
      </w:pPr>
      <w:r>
        <w:rPr>
          <w:color w:val="1F497D"/>
        </w:rPr>
        <w:t>Any other items you would like to address</w:t>
      </w:r>
    </w:p>
    <w:p w:rsidR="008D354F" w:rsidRPr="00956ED0" w:rsidRDefault="008D354F" w:rsidP="008D354F">
      <w:pPr>
        <w:rPr>
          <w:b/>
        </w:rPr>
      </w:pP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195239" w:rsidRDefault="00D2192B" w:rsidP="00D64A03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request to the working group membership to check with their appropriate agency representatives with regard to security considerations for protocol selection for GFT </w:t>
      </w:r>
    </w:p>
    <w:p w:rsidR="00D2192B" w:rsidRPr="00FF2760" w:rsidRDefault="00D2192B" w:rsidP="00FF2760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E. Barkley to follow up with navigation working group chair as to possibility for expression of “layered” (i.e. multi-reference center) sets of trajectories/ephemerides</w:t>
      </w:r>
    </w:p>
    <w:p w:rsidR="00DB1675" w:rsidRPr="008D354F" w:rsidRDefault="00DB1675" w:rsidP="00DB1675">
      <w:pPr>
        <w:pStyle w:val="ListParagraph"/>
        <w:ind w:left="1440"/>
        <w:contextualSpacing w:val="0"/>
        <w:rPr>
          <w:sz w:val="28"/>
          <w:szCs w:val="28"/>
        </w:rPr>
      </w:pPr>
    </w:p>
    <w:p w:rsidR="006325A9" w:rsidRDefault="00D2192B" w:rsidP="00632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Comments on the schedule of services test report </w:t>
      </w:r>
    </w:p>
    <w:p w:rsidR="00182704" w:rsidRPr="00182704" w:rsidRDefault="007F12BB" w:rsidP="00D219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substantial inputs – </w:t>
      </w:r>
      <w:r w:rsidR="00D2192B">
        <w:rPr>
          <w:sz w:val="28"/>
          <w:szCs w:val="28"/>
        </w:rPr>
        <w:t xml:space="preserve">conclusion is that the test report is in good shape and unless there are significant RIDs that modify the schedule of services recommendation (as a result of the upcoming agency </w:t>
      </w:r>
      <w:r w:rsidR="00D2192B">
        <w:rPr>
          <w:sz w:val="28"/>
          <w:szCs w:val="28"/>
        </w:rPr>
        <w:lastRenderedPageBreak/>
        <w:t>reviews) the document will essentially be used as is for blue book candidacy</w:t>
      </w:r>
    </w:p>
    <w:p w:rsidR="005E66E5" w:rsidRDefault="005E66E5" w:rsidP="005E66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E66E5">
        <w:rPr>
          <w:color w:val="000000" w:themeColor="text1"/>
          <w:sz w:val="28"/>
          <w:szCs w:val="28"/>
        </w:rPr>
        <w:t>Comment/Walk-Through on the latest planning information draft recommendation</w:t>
      </w:r>
    </w:p>
    <w:p w:rsidR="005E66E5" w:rsidRDefault="005E66E5" w:rsidP="005E66E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noted</w:t>
      </w:r>
      <w:proofErr w:type="gramEnd"/>
      <w:r>
        <w:rPr>
          <w:color w:val="000000" w:themeColor="text1"/>
          <w:sz w:val="28"/>
          <w:szCs w:val="28"/>
        </w:rPr>
        <w:t xml:space="preserve"> that it was possible to interpre</w:t>
      </w:r>
      <w:r w:rsidR="00C86057">
        <w:rPr>
          <w:color w:val="000000" w:themeColor="text1"/>
          <w:sz w:val="28"/>
          <w:szCs w:val="28"/>
        </w:rPr>
        <w:t xml:space="preserve">t the class diagram as putting the defined events </w:t>
      </w:r>
      <w:r>
        <w:rPr>
          <w:color w:val="000000" w:themeColor="text1"/>
          <w:sz w:val="28"/>
          <w:szCs w:val="28"/>
        </w:rPr>
        <w:t>prior to the additional events and also as freely mixing defined an additional events (which is the intent with the current class diagram definition</w:t>
      </w:r>
      <w:r w:rsidR="00C8605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  <w:r w:rsidR="00C86057">
        <w:rPr>
          <w:color w:val="000000" w:themeColor="text1"/>
          <w:sz w:val="28"/>
          <w:szCs w:val="28"/>
        </w:rPr>
        <w:t xml:space="preserve"> Agreed that </w:t>
      </w:r>
      <w:r>
        <w:rPr>
          <w:color w:val="000000" w:themeColor="text1"/>
          <w:sz w:val="28"/>
          <w:szCs w:val="28"/>
        </w:rPr>
        <w:t>additional statements can be made in the text to make it clear as to the intent.</w:t>
      </w:r>
    </w:p>
    <w:p w:rsidR="00C86057" w:rsidRDefault="00C86057" w:rsidP="005E66E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question as to the need for uncertainty windows was raised</w:t>
      </w:r>
    </w:p>
    <w:p w:rsidR="00FF2760" w:rsidRDefault="00C86057" w:rsidP="00C8605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this may be in relation to the grade/</w:t>
      </w:r>
      <w:r w:rsidR="00FF2760">
        <w:rPr>
          <w:color w:val="000000" w:themeColor="text1"/>
          <w:sz w:val="28"/>
          <w:szCs w:val="28"/>
        </w:rPr>
        <w:t>accuracy of the trajectory input</w:t>
      </w:r>
    </w:p>
    <w:p w:rsidR="00C86057" w:rsidRDefault="00890DBA" w:rsidP="00FF276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</w:t>
      </w:r>
      <w:r w:rsidR="00FF2760">
        <w:rPr>
          <w:color w:val="000000" w:themeColor="text1"/>
          <w:sz w:val="28"/>
          <w:szCs w:val="28"/>
        </w:rPr>
        <w:t>iscussion/comment about how best to structure this with regard to XML schema definition – for example, will there be defined event schema types?</w:t>
      </w:r>
    </w:p>
    <w:p w:rsidR="00FF2760" w:rsidRPr="005E66E5" w:rsidRDefault="00EA6F28" w:rsidP="00FF276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</w:t>
      </w:r>
      <w:r w:rsidR="00FF2760">
        <w:rPr>
          <w:color w:val="000000" w:themeColor="text1"/>
          <w:sz w:val="28"/>
          <w:szCs w:val="28"/>
        </w:rPr>
        <w:t xml:space="preserve"> request/action to the working group membership is to talk with appropriate agency representatives and provide inputs with respect to radio frequency interference (RFI), data volume/data rate estimation, and cost </w:t>
      </w:r>
      <w:r>
        <w:rPr>
          <w:color w:val="000000" w:themeColor="text1"/>
          <w:sz w:val="28"/>
          <w:szCs w:val="28"/>
        </w:rPr>
        <w:t xml:space="preserve">estimate data </w:t>
      </w:r>
      <w:r w:rsidR="00FF2760">
        <w:rPr>
          <w:color w:val="000000" w:themeColor="text1"/>
          <w:sz w:val="28"/>
          <w:szCs w:val="28"/>
        </w:rPr>
        <w:t>inputs for consideration in the draft recommendation</w:t>
      </w:r>
    </w:p>
    <w:p w:rsidR="00B41956" w:rsidRPr="00FF2760" w:rsidRDefault="00FF2760" w:rsidP="00FF276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FF2760">
        <w:rPr>
          <w:color w:val="000000" w:themeColor="text1"/>
          <w:sz w:val="28"/>
          <w:szCs w:val="28"/>
        </w:rPr>
        <w:t>Comment/Walk-Through on the latest generic file transfer concept</w:t>
      </w:r>
    </w:p>
    <w:p w:rsidR="007F12BB" w:rsidRDefault="00E436C1" w:rsidP="00E436C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WebDAV</w:t>
      </w:r>
      <w:r w:rsidR="00FF2760">
        <w:rPr>
          <w:color w:val="000000" w:themeColor="text1"/>
          <w:sz w:val="28"/>
          <w:szCs w:val="28"/>
        </w:rPr>
        <w:t xml:space="preserve"> -- clarified that WebDAV is mostly being considered from the protocol point of view for GFT (editorial note: more informatio</w:t>
      </w:r>
      <w:r>
        <w:rPr>
          <w:color w:val="000000" w:themeColor="text1"/>
          <w:sz w:val="28"/>
          <w:szCs w:val="28"/>
        </w:rPr>
        <w:t>n for those not familiar with WebDAV</w:t>
      </w:r>
      <w:r w:rsidR="00FF2760">
        <w:rPr>
          <w:color w:val="000000" w:themeColor="text1"/>
          <w:sz w:val="28"/>
          <w:szCs w:val="28"/>
        </w:rPr>
        <w:t xml:space="preserve"> can be found via</w:t>
      </w:r>
      <w:r>
        <w:rPr>
          <w:color w:val="000000" w:themeColor="text1"/>
          <w:sz w:val="28"/>
          <w:szCs w:val="28"/>
        </w:rPr>
        <w:t xml:space="preserve"> </w:t>
      </w:r>
      <w:hyperlink r:id="rId6" w:history="1">
        <w:r w:rsidRPr="009A3938">
          <w:rPr>
            <w:rStyle w:val="Hyperlink"/>
            <w:sz w:val="28"/>
            <w:szCs w:val="28"/>
          </w:rPr>
          <w:t>http://en.wikipedia.org/wiki/WebDAV</w:t>
        </w:r>
      </w:hyperlink>
      <w:r>
        <w:rPr>
          <w:color w:val="000000" w:themeColor="text1"/>
          <w:sz w:val="28"/>
          <w:szCs w:val="28"/>
        </w:rPr>
        <w:t xml:space="preserve">) </w:t>
      </w:r>
    </w:p>
    <w:p w:rsidR="00E436C1" w:rsidRDefault="00E436C1" w:rsidP="00E436C1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ESA and JPL/DSN are currently exchanging files via WebDAV</w:t>
      </w:r>
    </w:p>
    <w:p w:rsidR="00E436C1" w:rsidRDefault="00E436C1" w:rsidP="00E436C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Colin requested feedback on good protocol candidates, especially from a security consideration “relatively soon”.</w:t>
      </w:r>
    </w:p>
    <w:p w:rsidR="00E436C1" w:rsidRPr="00B41956" w:rsidRDefault="00E436C1" w:rsidP="00E436C1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the use</w:t>
      </w:r>
      <w:r w:rsidR="006A33CD">
        <w:rPr>
          <w:color w:val="000000" w:themeColor="text1"/>
          <w:sz w:val="28"/>
          <w:szCs w:val="28"/>
        </w:rPr>
        <w:t xml:space="preserve"> of</w:t>
      </w:r>
      <w:r>
        <w:rPr>
          <w:color w:val="000000" w:themeColor="text1"/>
          <w:sz w:val="28"/>
          <w:szCs w:val="28"/>
        </w:rPr>
        <w:t xml:space="preserve"> XFDU (an existing CCSDS recommendation) is the likely candidate for the packaging mechanism</w:t>
      </w:r>
    </w:p>
    <w:p w:rsidR="00B41956" w:rsidRPr="00B41956" w:rsidRDefault="00890DBA" w:rsidP="00890DBA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90DBA">
        <w:rPr>
          <w:color w:val="000000" w:themeColor="text1"/>
          <w:sz w:val="28"/>
          <w:szCs w:val="28"/>
        </w:rPr>
        <w:t xml:space="preserve">Comment/Walk-Through on event </w:t>
      </w:r>
      <w:r>
        <w:rPr>
          <w:color w:val="000000" w:themeColor="text1"/>
          <w:sz w:val="28"/>
          <w:szCs w:val="28"/>
        </w:rPr>
        <w:t>sequence extensibility write up</w:t>
      </w:r>
    </w:p>
    <w:p w:rsidR="00844DB0" w:rsidRDefault="006A33CD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the functional resources, especially the space link facing functional resources are the basis for the event sequence</w:t>
      </w:r>
    </w:p>
    <w:p w:rsidR="006A33CD" w:rsidRDefault="006A33CD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the (planned) SC-CSTS service will likely have much of the same information as the event sequence definition</w:t>
      </w:r>
    </w:p>
    <w:p w:rsidR="006C7933" w:rsidRDefault="006C7933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Two approaches identified</w:t>
      </w:r>
    </w:p>
    <w:p w:rsidR="006C7933" w:rsidRDefault="006C7933" w:rsidP="006C793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Addition of new service data transport sub-states relative to the (current blue-1 oriented) data transport super-state</w:t>
      </w:r>
    </w:p>
    <w:p w:rsidR="006C7933" w:rsidRDefault="006C7933" w:rsidP="006C793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Addition of new service data transport sub-states relative to the carrier available super state.</w:t>
      </w:r>
    </w:p>
    <w:p w:rsidR="006A33CD" w:rsidRDefault="006A33CD" w:rsidP="00A9034E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Similarity to extensibility model noted with regard to the planning information draft recommendation</w:t>
      </w:r>
      <w:r w:rsidR="006C7933">
        <w:rPr>
          <w:color w:val="000000" w:themeColor="text1"/>
          <w:sz w:val="28"/>
          <w:szCs w:val="28"/>
        </w:rPr>
        <w:t xml:space="preserve"> (editorial note: especially for approach 1)</w:t>
      </w:r>
    </w:p>
    <w:p w:rsidR="00B97C7B" w:rsidRDefault="006A33CD" w:rsidP="006A33CD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major extensibility point (i.e. definition of</w:t>
      </w:r>
      <w:r w:rsidR="00B97C7B">
        <w:rPr>
          <w:color w:val="000000" w:themeColor="text1"/>
          <w:sz w:val="28"/>
          <w:szCs w:val="28"/>
        </w:rPr>
        <w:t xml:space="preserve"> new event types)</w:t>
      </w:r>
    </w:p>
    <w:p w:rsidR="00B97C7B" w:rsidRPr="006C7933" w:rsidRDefault="00B97C7B" w:rsidP="006C793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minor extensibility point (i.e. definition of additional/new parameters relative to an event type)</w:t>
      </w:r>
    </w:p>
    <w:p w:rsidR="00844DB0" w:rsidRPr="006A33CD" w:rsidRDefault="00844DB0" w:rsidP="006A33CD">
      <w:pPr>
        <w:rPr>
          <w:color w:val="000000" w:themeColor="text1"/>
          <w:sz w:val="28"/>
          <w:szCs w:val="28"/>
        </w:rPr>
      </w:pPr>
    </w:p>
    <w:p w:rsidR="00651EAD" w:rsidRPr="006C7933" w:rsidRDefault="006C7933" w:rsidP="006C7933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C7933">
        <w:rPr>
          <w:color w:val="000000" w:themeColor="text1"/>
          <w:sz w:val="28"/>
          <w:szCs w:val="28"/>
        </w:rPr>
        <w:t>Follow-up re inter-recommendation discussion</w:t>
      </w:r>
    </w:p>
    <w:p w:rsidR="006C7933" w:rsidRDefault="006C7933" w:rsidP="00CA5BDA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 basic trial spreadsheet listing the “official” information entity names (per the concept book) was presented</w:t>
      </w:r>
    </w:p>
    <w:p w:rsidR="006C7933" w:rsidRDefault="006C7933" w:rsidP="006C7933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intention is to provide as an aid and the double check for proper names being utilized in describing information entities when referred to from various recommendations etc.</w:t>
      </w:r>
      <w:r w:rsidR="00EA6F28">
        <w:rPr>
          <w:color w:val="000000" w:themeColor="text1"/>
          <w:sz w:val="28"/>
          <w:szCs w:val="28"/>
        </w:rPr>
        <w:t xml:space="preserve"> (see table below)</w:t>
      </w:r>
    </w:p>
    <w:p w:rsidR="001E3820" w:rsidRPr="001E3820" w:rsidRDefault="006C7933" w:rsidP="001E382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6C7933">
        <w:rPr>
          <w:sz w:val="28"/>
          <w:szCs w:val="28"/>
        </w:rPr>
        <w:t xml:space="preserve">“Backlog” re items that need follow-up </w:t>
      </w:r>
      <w:r w:rsidR="00CA5BDA" w:rsidRPr="006C7933">
        <w:rPr>
          <w:sz w:val="28"/>
          <w:szCs w:val="28"/>
        </w:rPr>
        <w:t xml:space="preserve">– Not addressed/deferred </w:t>
      </w:r>
    </w:p>
    <w:p w:rsidR="00CA5BDA" w:rsidRPr="001E3820" w:rsidRDefault="001E3820" w:rsidP="001E382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E3820">
        <w:rPr>
          <w:sz w:val="28"/>
          <w:szCs w:val="28"/>
        </w:rPr>
        <w:t>London meetings planning</w:t>
      </w:r>
    </w:p>
    <w:p w:rsidR="001E3820" w:rsidRPr="001E3820" w:rsidRDefault="001E3820" w:rsidP="001E382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suggested that about one hour of time be put on the agenda for working on inter-recommendation tracking</w:t>
      </w:r>
    </w:p>
    <w:p w:rsidR="00295688" w:rsidRPr="00295688" w:rsidRDefault="00295688" w:rsidP="00295688">
      <w:pPr>
        <w:pStyle w:val="ListParagraph"/>
        <w:spacing w:after="200" w:line="276" w:lineRule="auto"/>
        <w:rPr>
          <w:sz w:val="28"/>
          <w:szCs w:val="28"/>
        </w:rPr>
      </w:pPr>
    </w:p>
    <w:p w:rsidR="00214E19" w:rsidRDefault="00214E19" w:rsidP="00214E19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:rsidR="00214E19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1E3820">
        <w:rPr>
          <w:sz w:val="28"/>
          <w:szCs w:val="28"/>
        </w:rPr>
        <w:t xml:space="preserve"> is schedule for 25 September</w:t>
      </w:r>
      <w:r w:rsidR="00214E19">
        <w:rPr>
          <w:sz w:val="28"/>
          <w:szCs w:val="28"/>
        </w:rPr>
        <w:t xml:space="preserve">. </w:t>
      </w:r>
    </w:p>
    <w:p w:rsidR="00651EAD" w:rsidRDefault="00651EAD" w:rsidP="00690842">
      <w:pPr>
        <w:spacing w:after="200" w:line="276" w:lineRule="auto"/>
        <w:rPr>
          <w:sz w:val="28"/>
          <w:szCs w:val="28"/>
        </w:rPr>
      </w:pPr>
    </w:p>
    <w:p w:rsidR="001E3820" w:rsidRDefault="001E3820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Example table for reference in developing recommendations/cross checking (in this case a listing of the set of CSSM information entities)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2380"/>
        <w:gridCol w:w="9840"/>
      </w:tblGrid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Index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INFORMATION ENTITY NAME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CATALOG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PLANNING REQUEST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PROVISIONAL PLAN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AGREEMENT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CONFIGURATION PROFILE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COMMUNICATIONS GEOMETRY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SUSTAINABLE DATA RATES &amp; VOLUME ESTIMATES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RADIO FREQUENCY INTERFERENCE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RESOURCE CONFLICTS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COST ESTIMATES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SPACE LINK EVENT SEQUENCE</w:t>
            </w:r>
            <w:bookmarkStart w:id="0" w:name="_GoBack"/>
            <w:bookmarkEnd w:id="0"/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RESOURCE AVAILABILITY INFORMATION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TRAJECTORY PREDICTION SEGMENT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PACKAGE REQUEST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PACKAGE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SCHEDULE OF SERVICES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SERVICE PACKAGE EXECUTION EVENT NOTIFICATION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ACCOUNTING REPORT</w:t>
            </w:r>
          </w:p>
        </w:tc>
      </w:tr>
      <w:tr w:rsidR="001E3820" w:rsidRPr="001E3820" w:rsidTr="001E382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20" w:rsidRPr="001E3820" w:rsidRDefault="001E3820" w:rsidP="001E3820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E3820">
              <w:rPr>
                <w:rFonts w:ascii="Calibri" w:eastAsia="Times New Roman" w:hAnsi="Calibri"/>
                <w:color w:val="000000"/>
                <w:sz w:val="22"/>
                <w:szCs w:val="22"/>
              </w:rPr>
              <w:t>INFORMATION ENTITY CROSS-REFERENCING FRAMEWORK</w:t>
            </w:r>
          </w:p>
        </w:tc>
      </w:tr>
    </w:tbl>
    <w:p w:rsidR="001E3820" w:rsidRDefault="001E3820" w:rsidP="00690842">
      <w:pPr>
        <w:spacing w:after="200" w:line="276" w:lineRule="auto"/>
        <w:rPr>
          <w:sz w:val="28"/>
          <w:szCs w:val="28"/>
        </w:rPr>
      </w:pPr>
    </w:p>
    <w:p w:rsidR="001E3820" w:rsidRDefault="001E3820" w:rsidP="00690842">
      <w:pPr>
        <w:spacing w:after="200" w:line="276" w:lineRule="auto"/>
        <w:rPr>
          <w:sz w:val="28"/>
          <w:szCs w:val="28"/>
        </w:rPr>
      </w:pPr>
    </w:p>
    <w:p w:rsidR="00BD5396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notes]</w:t>
      </w:r>
    </w:p>
    <w:p w:rsidR="003B41F2" w:rsidRPr="00E60BE8" w:rsidRDefault="003B41F2" w:rsidP="003B41F2">
      <w:pPr>
        <w:jc w:val="center"/>
        <w:rPr>
          <w:sz w:val="28"/>
          <w:szCs w:val="28"/>
        </w:rPr>
      </w:pPr>
    </w:p>
    <w:sectPr w:rsidR="003B41F2" w:rsidRPr="00E60BE8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4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6338"/>
    <w:multiLevelType w:val="hybridMultilevel"/>
    <w:tmpl w:val="BDB09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31F"/>
    <w:multiLevelType w:val="hybridMultilevel"/>
    <w:tmpl w:val="E3AAA2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3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C0D6CC-BCE2-4A87-83C7-72D5F5855658}"/>
    <w:docVar w:name="dgnword-eventsink" w:val="11021440"/>
  </w:docVars>
  <w:rsids>
    <w:rsidRoot w:val="00B10DEB"/>
    <w:rsid w:val="00006153"/>
    <w:rsid w:val="0001181F"/>
    <w:rsid w:val="000254DD"/>
    <w:rsid w:val="000474BD"/>
    <w:rsid w:val="000603C8"/>
    <w:rsid w:val="000C372D"/>
    <w:rsid w:val="000D3314"/>
    <w:rsid w:val="000D52D9"/>
    <w:rsid w:val="000D6F70"/>
    <w:rsid w:val="000D7002"/>
    <w:rsid w:val="000D7812"/>
    <w:rsid w:val="00103DEF"/>
    <w:rsid w:val="001057FF"/>
    <w:rsid w:val="00112E88"/>
    <w:rsid w:val="001434E7"/>
    <w:rsid w:val="001469D8"/>
    <w:rsid w:val="001517B1"/>
    <w:rsid w:val="00154CEA"/>
    <w:rsid w:val="00157FE9"/>
    <w:rsid w:val="00160EB0"/>
    <w:rsid w:val="00164EBC"/>
    <w:rsid w:val="00182704"/>
    <w:rsid w:val="00187A38"/>
    <w:rsid w:val="00195239"/>
    <w:rsid w:val="001A6004"/>
    <w:rsid w:val="001A7903"/>
    <w:rsid w:val="001B17A4"/>
    <w:rsid w:val="001D76BF"/>
    <w:rsid w:val="001E06A6"/>
    <w:rsid w:val="001E0799"/>
    <w:rsid w:val="001E3820"/>
    <w:rsid w:val="001E50F3"/>
    <w:rsid w:val="001F5FDD"/>
    <w:rsid w:val="00207CA0"/>
    <w:rsid w:val="00214E19"/>
    <w:rsid w:val="00247EDF"/>
    <w:rsid w:val="00254B20"/>
    <w:rsid w:val="00267D6C"/>
    <w:rsid w:val="0029387E"/>
    <w:rsid w:val="00295688"/>
    <w:rsid w:val="002A2B5E"/>
    <w:rsid w:val="002E5208"/>
    <w:rsid w:val="002F3627"/>
    <w:rsid w:val="00301C1C"/>
    <w:rsid w:val="00322C01"/>
    <w:rsid w:val="00334F5F"/>
    <w:rsid w:val="0036086F"/>
    <w:rsid w:val="003620BD"/>
    <w:rsid w:val="003664CA"/>
    <w:rsid w:val="00372B1D"/>
    <w:rsid w:val="003B05A1"/>
    <w:rsid w:val="003B2185"/>
    <w:rsid w:val="003B41F2"/>
    <w:rsid w:val="003B5B45"/>
    <w:rsid w:val="00425047"/>
    <w:rsid w:val="004448E7"/>
    <w:rsid w:val="004546EB"/>
    <w:rsid w:val="00455F4B"/>
    <w:rsid w:val="00465E5F"/>
    <w:rsid w:val="004A1BC9"/>
    <w:rsid w:val="004A3F55"/>
    <w:rsid w:val="004B7D3A"/>
    <w:rsid w:val="004D3F50"/>
    <w:rsid w:val="004E4386"/>
    <w:rsid w:val="0050031B"/>
    <w:rsid w:val="005019EE"/>
    <w:rsid w:val="00512F3E"/>
    <w:rsid w:val="005728C8"/>
    <w:rsid w:val="005A3108"/>
    <w:rsid w:val="005B6570"/>
    <w:rsid w:val="005C3621"/>
    <w:rsid w:val="005C4C48"/>
    <w:rsid w:val="005D53D6"/>
    <w:rsid w:val="005E66E5"/>
    <w:rsid w:val="005E7892"/>
    <w:rsid w:val="006033A6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33CD"/>
    <w:rsid w:val="006A5EDE"/>
    <w:rsid w:val="006C4FFD"/>
    <w:rsid w:val="006C7933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E21B4"/>
    <w:rsid w:val="007F12BB"/>
    <w:rsid w:val="00844DB0"/>
    <w:rsid w:val="008534B5"/>
    <w:rsid w:val="00854571"/>
    <w:rsid w:val="00864A95"/>
    <w:rsid w:val="00867C9F"/>
    <w:rsid w:val="00867EAC"/>
    <w:rsid w:val="008847CF"/>
    <w:rsid w:val="00890DBA"/>
    <w:rsid w:val="00890E2A"/>
    <w:rsid w:val="008D354F"/>
    <w:rsid w:val="008E153F"/>
    <w:rsid w:val="0091697E"/>
    <w:rsid w:val="00920453"/>
    <w:rsid w:val="009964F1"/>
    <w:rsid w:val="009A182E"/>
    <w:rsid w:val="009B1A1B"/>
    <w:rsid w:val="009C74D7"/>
    <w:rsid w:val="009E1586"/>
    <w:rsid w:val="00A1680A"/>
    <w:rsid w:val="00A226DC"/>
    <w:rsid w:val="00A84DB5"/>
    <w:rsid w:val="00A9034E"/>
    <w:rsid w:val="00AB1F62"/>
    <w:rsid w:val="00B10DEB"/>
    <w:rsid w:val="00B35A0D"/>
    <w:rsid w:val="00B41956"/>
    <w:rsid w:val="00B572F8"/>
    <w:rsid w:val="00B60CE4"/>
    <w:rsid w:val="00B92661"/>
    <w:rsid w:val="00B9665B"/>
    <w:rsid w:val="00B97C7B"/>
    <w:rsid w:val="00BA4924"/>
    <w:rsid w:val="00BB6F6F"/>
    <w:rsid w:val="00BD5396"/>
    <w:rsid w:val="00BE2889"/>
    <w:rsid w:val="00BE2C54"/>
    <w:rsid w:val="00BF274F"/>
    <w:rsid w:val="00C049D2"/>
    <w:rsid w:val="00C21D4E"/>
    <w:rsid w:val="00C419C7"/>
    <w:rsid w:val="00C66407"/>
    <w:rsid w:val="00C70761"/>
    <w:rsid w:val="00C86057"/>
    <w:rsid w:val="00C9053E"/>
    <w:rsid w:val="00C92698"/>
    <w:rsid w:val="00CA5BDA"/>
    <w:rsid w:val="00CA5C6C"/>
    <w:rsid w:val="00CB3443"/>
    <w:rsid w:val="00CD1354"/>
    <w:rsid w:val="00CE39AC"/>
    <w:rsid w:val="00CF74C5"/>
    <w:rsid w:val="00D10ADA"/>
    <w:rsid w:val="00D11A45"/>
    <w:rsid w:val="00D1510F"/>
    <w:rsid w:val="00D2192B"/>
    <w:rsid w:val="00D8375B"/>
    <w:rsid w:val="00DA4F46"/>
    <w:rsid w:val="00DB1675"/>
    <w:rsid w:val="00DC4062"/>
    <w:rsid w:val="00DC6CC3"/>
    <w:rsid w:val="00DD6D15"/>
    <w:rsid w:val="00DF6DCA"/>
    <w:rsid w:val="00E204FB"/>
    <w:rsid w:val="00E20AA8"/>
    <w:rsid w:val="00E2263D"/>
    <w:rsid w:val="00E30CEF"/>
    <w:rsid w:val="00E404D8"/>
    <w:rsid w:val="00E4338A"/>
    <w:rsid w:val="00E436C1"/>
    <w:rsid w:val="00E55C57"/>
    <w:rsid w:val="00E60BE8"/>
    <w:rsid w:val="00E77B3C"/>
    <w:rsid w:val="00EA6F28"/>
    <w:rsid w:val="00EA7978"/>
    <w:rsid w:val="00EC7AF7"/>
    <w:rsid w:val="00EC7CF3"/>
    <w:rsid w:val="00ED1066"/>
    <w:rsid w:val="00EE23AF"/>
    <w:rsid w:val="00EE42C1"/>
    <w:rsid w:val="00EF2B71"/>
    <w:rsid w:val="00F15BC4"/>
    <w:rsid w:val="00F31E5F"/>
    <w:rsid w:val="00F45F2A"/>
    <w:rsid w:val="00F620CD"/>
    <w:rsid w:val="00F65842"/>
    <w:rsid w:val="00FA78E6"/>
    <w:rsid w:val="00FA7D0E"/>
    <w:rsid w:val="00FE5DAA"/>
    <w:rsid w:val="00FE7D8D"/>
    <w:rsid w:val="00FF1F8B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DD8D2-8D14-4688-9227-9651DA9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WebD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E017-EC8C-4ABD-91FF-135D5F7F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10</cp:revision>
  <dcterms:created xsi:type="dcterms:W3CDTF">2014-08-27T17:54:00Z</dcterms:created>
  <dcterms:modified xsi:type="dcterms:W3CDTF">2014-08-27T19:31:00Z</dcterms:modified>
</cp:coreProperties>
</file>