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6040" w14:textId="5B9AAC6A" w:rsidR="00800A0F" w:rsidRDefault="00800A0F" w:rsidP="003E5238">
      <w:pPr>
        <w:pStyle w:val="Heading1"/>
      </w:pPr>
      <w:bookmarkStart w:id="0" w:name="_Toc508517786"/>
      <w:bookmarkStart w:id="1" w:name="_Toc509222018"/>
      <w:bookmarkStart w:id="2" w:name="_Ref535990306"/>
      <w:bookmarkStart w:id="3" w:name="_Toc536260485"/>
      <w:bookmarkStart w:id="4" w:name="_Toc11134304"/>
      <w:bookmarkStart w:id="5" w:name="_Toc26348828"/>
      <w:bookmarkStart w:id="6" w:name="_Ref29354850"/>
      <w:bookmarkStart w:id="7" w:name="_Toc41983719"/>
      <w:bookmarkStart w:id="8" w:name="_Toc46570314"/>
      <w:r>
        <w:t>Proximity-1 Timing Services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E5238">
        <w:t xml:space="preserve"> </w:t>
      </w:r>
      <w:r w:rsidR="003E5238">
        <w:rPr>
          <w:color w:val="FF0000"/>
        </w:rPr>
        <w:t>– will be section 5</w:t>
      </w:r>
    </w:p>
    <w:p w14:paraId="28384062" w14:textId="77777777" w:rsidR="00800A0F" w:rsidRDefault="00800A0F" w:rsidP="00800A0F">
      <w:pPr>
        <w:pStyle w:val="Heading2"/>
      </w:pPr>
      <w:r>
        <w:t>Proximity-1 Time Correlation</w:t>
      </w:r>
    </w:p>
    <w:p w14:paraId="110AADDF" w14:textId="77777777" w:rsidR="00800A0F" w:rsidRPr="004112B4" w:rsidRDefault="00800A0F" w:rsidP="00800A0F">
      <w:r>
        <w:t>The following method specifies the time tagging of Proximity-1 transfer frames exchanged between two Proximity-1 transceivers (initiator/</w:t>
      </w:r>
      <w:r w:rsidR="00843F7B">
        <w:t>responder</w:t>
      </w:r>
      <w:r>
        <w:t xml:space="preserve">) upon ingress to and egress from a Proximity transceiver (two-way) depicted in figure </w:t>
      </w:r>
      <w:r>
        <w:rPr>
          <w:noProof/>
        </w:rPr>
        <w:t>5</w:t>
      </w:r>
      <w:r>
        <w:noBreakHyphen/>
      </w:r>
      <w:r>
        <w:rPr>
          <w:noProof/>
        </w:rPr>
        <w:t xml:space="preserve">1, </w:t>
      </w:r>
      <w:r>
        <w:t>Proximity Time Tagging and Time Correlation.</w:t>
      </w:r>
    </w:p>
    <w:p w14:paraId="61BCF550" w14:textId="77777777" w:rsidR="00800A0F" w:rsidRDefault="00800A0F" w:rsidP="00A72065">
      <w:pPr>
        <w:pStyle w:val="Paragraph3"/>
      </w:pPr>
      <w:r>
        <w:t>When time tagging is active</w:t>
      </w:r>
      <w:r w:rsidRPr="00671191">
        <w:t xml:space="preserve">, </w:t>
      </w:r>
      <w:r>
        <w:t>a Proximity-1 transceiver</w:t>
      </w:r>
      <w:r w:rsidRPr="00671191">
        <w:t xml:space="preserve"> shall </w:t>
      </w:r>
      <w:r>
        <w:t>record the time of the trailing edge of the last bit of the Attached Synchronization Marker (ASM) of every incoming and every outgoing Proximity-1 transfer frame when available.</w:t>
      </w:r>
    </w:p>
    <w:p w14:paraId="291BEBD6" w14:textId="77777777" w:rsidR="00800A0F" w:rsidRDefault="00800A0F" w:rsidP="00843F7B">
      <w:pPr>
        <w:pStyle w:val="Paragraph3"/>
        <w:numPr>
          <w:ilvl w:val="0"/>
          <w:numId w:val="0"/>
        </w:numPr>
      </w:pPr>
      <w:r>
        <w:t xml:space="preserve">NOTE – Timing Services require that the transceiver’s </w:t>
      </w:r>
      <w:r>
        <w:rPr>
          <w:rStyle w:val="ParVar"/>
        </w:rPr>
        <w:t>MODE</w:t>
      </w:r>
      <w:r>
        <w:t xml:space="preserve"> is </w:t>
      </w:r>
      <w:r>
        <w:rPr>
          <w:rStyle w:val="value"/>
        </w:rPr>
        <w:t>active</w:t>
      </w:r>
      <w:r>
        <w:t xml:space="preserve"> and is operating in the Data Services </w:t>
      </w:r>
      <w:proofErr w:type="spellStart"/>
      <w:r>
        <w:t>sublayer</w:t>
      </w:r>
      <w:proofErr w:type="spellEnd"/>
      <w:r>
        <w:t xml:space="preserve">.  Timing Services can </w:t>
      </w:r>
      <w:r w:rsidR="00DB48B4">
        <w:t xml:space="preserve">only </w:t>
      </w:r>
      <w:r>
        <w:t xml:space="preserve">occur in full </w:t>
      </w:r>
      <w:r w:rsidR="00DB48B4">
        <w:t xml:space="preserve">or half </w:t>
      </w:r>
      <w:r>
        <w:t>duplex operations.</w:t>
      </w:r>
      <w:r w:rsidR="00843F7B">
        <w:t xml:space="preserve"> </w:t>
      </w:r>
      <w:r>
        <w:t>Timing services can occ</w:t>
      </w:r>
      <w:r w:rsidR="00A72065">
        <w:t>ur concurrently with other data transfer</w:t>
      </w:r>
      <w:r>
        <w:t xml:space="preserve"> activities.  The recommended time-tagging method is specified in 5.2.</w:t>
      </w:r>
    </w:p>
    <w:p w14:paraId="2F332831" w14:textId="77777777" w:rsidR="00800A0F" w:rsidRDefault="00800A0F" w:rsidP="00800A0F">
      <w:pPr>
        <w:pStyle w:val="Heading3"/>
        <w:spacing w:before="480"/>
      </w:pPr>
      <w:r>
        <w:t>time TAG capture method</w:t>
      </w:r>
    </w:p>
    <w:p w14:paraId="5899A329" w14:textId="77777777" w:rsidR="00800A0F" w:rsidRDefault="00800A0F" w:rsidP="00800A0F">
      <w:r>
        <w:t>The time tag capture method shall be composed of the following steps:</w:t>
      </w:r>
    </w:p>
    <w:p w14:paraId="1915410D" w14:textId="77777777" w:rsidR="00DC491C" w:rsidRDefault="00800A0F" w:rsidP="00800A0F">
      <w:pPr>
        <w:pStyle w:val="List"/>
        <w:numPr>
          <w:ilvl w:val="0"/>
          <w:numId w:val="2"/>
        </w:numPr>
        <w:tabs>
          <w:tab w:val="clear" w:pos="360"/>
          <w:tab w:val="left" w:pos="720"/>
        </w:tabs>
        <w:ind w:left="720"/>
      </w:pPr>
      <w:r>
        <w:t>The vehicle controller shall instruct the initiating transceiver</w:t>
      </w:r>
      <w:r w:rsidR="00A72065">
        <w:t xml:space="preserve"> (initiator)</w:t>
      </w:r>
      <w:r>
        <w:t xml:space="preserve"> to</w:t>
      </w:r>
      <w:r w:rsidR="00DC491C">
        <w:t xml:space="preserve"> </w:t>
      </w:r>
      <w:r w:rsidR="008B5C08">
        <w:t xml:space="preserve">build and send a </w:t>
      </w:r>
      <w:r w:rsidR="008B5C08">
        <w:rPr>
          <w:rStyle w:val="directive"/>
        </w:rPr>
        <w:t>SET CONTROL PARAMETERS</w:t>
      </w:r>
      <w:r w:rsidR="008B5C08">
        <w:t xml:space="preserve"> directive to the </w:t>
      </w:r>
      <w:r w:rsidR="00843F7B">
        <w:t>responder</w:t>
      </w:r>
      <w:r w:rsidR="008B5C08">
        <w:t xml:space="preserve"> to capture it’s time tag measurements. Upon receipt of this instruction/directive, the MAC </w:t>
      </w:r>
      <w:proofErr w:type="spellStart"/>
      <w:r w:rsidR="008B5C08">
        <w:t>sublayer</w:t>
      </w:r>
      <w:proofErr w:type="spellEnd"/>
      <w:r w:rsidR="008B5C08">
        <w:t xml:space="preserve"> of both transceivers shall </w:t>
      </w:r>
      <w:r w:rsidR="00DC491C">
        <w:t xml:space="preserve">capture the local time reference and associated frame sequence numbers over the commanded interval. </w:t>
      </w:r>
    </w:p>
    <w:p w14:paraId="5F6D4B70" w14:textId="77777777" w:rsidR="00DB48B4" w:rsidRDefault="00DB48B4" w:rsidP="00800A0F">
      <w:pPr>
        <w:pStyle w:val="List"/>
        <w:numPr>
          <w:ilvl w:val="0"/>
          <w:numId w:val="2"/>
        </w:numPr>
        <w:tabs>
          <w:tab w:val="clear" w:pos="360"/>
          <w:tab w:val="left" w:pos="720"/>
        </w:tabs>
        <w:ind w:left="720"/>
      </w:pPr>
      <w:r>
        <w:t xml:space="preserve">Each transceiver shall package this time correlation data for later transfer to the time correlation process. </w:t>
      </w:r>
    </w:p>
    <w:p w14:paraId="7EF3FEF8" w14:textId="77777777" w:rsidR="00800A0F" w:rsidRDefault="00DB48B4" w:rsidP="00800A0F">
      <w:pPr>
        <w:pStyle w:val="List"/>
        <w:numPr>
          <w:ilvl w:val="0"/>
          <w:numId w:val="2"/>
        </w:numPr>
        <w:tabs>
          <w:tab w:val="clear" w:pos="360"/>
          <w:tab w:val="left" w:pos="720"/>
        </w:tabs>
        <w:ind w:left="720"/>
      </w:pPr>
      <w:r>
        <w:t xml:space="preserve">The time correlation process </w:t>
      </w:r>
      <w:r w:rsidR="00843F7B">
        <w:t>requires</w:t>
      </w:r>
      <w:r>
        <w:t xml:space="preserve"> the following information:</w:t>
      </w:r>
    </w:p>
    <w:p w14:paraId="718976E3" w14:textId="77777777" w:rsidR="00843F7B" w:rsidRDefault="00DB48B4" w:rsidP="00DB48B4">
      <w:pPr>
        <w:pStyle w:val="List"/>
        <w:numPr>
          <w:ilvl w:val="0"/>
          <w:numId w:val="5"/>
        </w:numPr>
        <w:tabs>
          <w:tab w:val="left" w:pos="720"/>
        </w:tabs>
      </w:pPr>
      <w:proofErr w:type="gramStart"/>
      <w:r>
        <w:t>both</w:t>
      </w:r>
      <w:proofErr w:type="gramEnd"/>
      <w:r>
        <w:t xml:space="preserve"> initiator and </w:t>
      </w:r>
      <w:r w:rsidR="00843F7B">
        <w:t>responder</w:t>
      </w:r>
      <w:r w:rsidR="00CF1958">
        <w:t>’s</w:t>
      </w:r>
      <w:r>
        <w:t xml:space="preserve"> data sets </w:t>
      </w:r>
      <w:r w:rsidR="00843F7B">
        <w:t>(time tags, sequence counts, direction)</w:t>
      </w:r>
    </w:p>
    <w:p w14:paraId="41A2D9FA" w14:textId="77777777" w:rsidR="00DB48B4" w:rsidRDefault="00DB48B4" w:rsidP="00DB48B4">
      <w:pPr>
        <w:pStyle w:val="List"/>
        <w:numPr>
          <w:ilvl w:val="0"/>
          <w:numId w:val="5"/>
        </w:numPr>
        <w:tabs>
          <w:tab w:val="left" w:pos="720"/>
        </w:tabs>
      </w:pPr>
      <w:proofErr w:type="gramStart"/>
      <w:r>
        <w:t>the</w:t>
      </w:r>
      <w:proofErr w:type="gramEnd"/>
      <w:r>
        <w:t xml:space="preserve"> relationship of one of the transceiver’s clocks to UTC</w:t>
      </w:r>
    </w:p>
    <w:p w14:paraId="1F911ADF" w14:textId="77777777" w:rsidR="00DB48B4" w:rsidRDefault="00DB48B4" w:rsidP="00DB48B4">
      <w:pPr>
        <w:pStyle w:val="List"/>
        <w:numPr>
          <w:ilvl w:val="0"/>
          <w:numId w:val="5"/>
        </w:numPr>
        <w:tabs>
          <w:tab w:val="left" w:pos="720"/>
        </w:tabs>
      </w:pPr>
      <w:r>
        <w:t>the delays associated with each of the transceiver’s time tagging process</w:t>
      </w:r>
    </w:p>
    <w:p w14:paraId="1CC0A8B1" w14:textId="77777777" w:rsidR="00DB48B4" w:rsidRDefault="00DB48B4" w:rsidP="00DB48B4">
      <w:pPr>
        <w:pStyle w:val="List"/>
        <w:numPr>
          <w:ilvl w:val="0"/>
          <w:numId w:val="5"/>
        </w:numPr>
        <w:tabs>
          <w:tab w:val="left" w:pos="720"/>
        </w:tabs>
      </w:pPr>
      <w:r>
        <w:t>Time tag formats per transceiver</w:t>
      </w:r>
    </w:p>
    <w:p w14:paraId="26145350" w14:textId="77777777" w:rsidR="00800A0F" w:rsidRDefault="00800A0F" w:rsidP="00800A0F">
      <w:pPr>
        <w:pStyle w:val="Notelevel2"/>
      </w:pPr>
      <w:r>
        <w:t>NOTES</w:t>
      </w:r>
    </w:p>
    <w:p w14:paraId="74CCE2B3" w14:textId="77777777" w:rsidR="00800A0F" w:rsidRDefault="00800A0F" w:rsidP="00800A0F">
      <w:pPr>
        <w:pStyle w:val="Noteslevel2"/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Time tag direction is labeled as either egress or ingress.</w:t>
      </w:r>
    </w:p>
    <w:p w14:paraId="7321E788" w14:textId="77777777" w:rsidR="00800A0F" w:rsidRDefault="00800A0F" w:rsidP="00800A0F">
      <w:pPr>
        <w:pStyle w:val="Noteslevel2"/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The internal delays may have coding and rate components.</w:t>
      </w:r>
    </w:p>
    <w:p w14:paraId="76BC4C02" w14:textId="77777777" w:rsidR="00800A0F" w:rsidRDefault="00843F7B" w:rsidP="00843F7B">
      <w:pPr>
        <w:pStyle w:val="Noteslevel2"/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Simultaneous collection of time tag data in both directions provides accuracy.</w:t>
      </w:r>
      <w:r w:rsidR="00DB48B4">
        <w:t xml:space="preserve"> </w:t>
      </w:r>
    </w:p>
    <w:p w14:paraId="30BCCF74" w14:textId="77777777" w:rsidR="00CF1958" w:rsidRDefault="00843F7B" w:rsidP="00CF1958">
      <w:pPr>
        <w:pStyle w:val="Noteslevel2"/>
        <w:ind w:firstLine="0"/>
      </w:pPr>
      <w:r w:rsidRPr="00843F7B">
        <w:lastRenderedPageBreak/>
        <w:drawing>
          <wp:inline distT="0" distB="0" distL="0" distR="0" wp14:anchorId="193BA663" wp14:editId="206AE36E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702D" w14:textId="77777777" w:rsidR="00800A0F" w:rsidRDefault="00800A0F" w:rsidP="00800A0F">
      <w:pPr>
        <w:spacing w:before="0"/>
      </w:pPr>
    </w:p>
    <w:p w14:paraId="0C2F62CA" w14:textId="3BBC94D8" w:rsidR="00800A0F" w:rsidRDefault="00800A0F" w:rsidP="00800A0F">
      <w:pPr>
        <w:pStyle w:val="FigureTitle"/>
        <w:rPr>
          <w:spacing w:val="-4"/>
        </w:rPr>
      </w:pPr>
      <w:r>
        <w:t xml:space="preserve">Figure </w:t>
      </w:r>
      <w:bookmarkStart w:id="9" w:name="F_Proximity_Time_Tagging_and_Time_Correl"/>
      <w:r w:rsidR="00330BFA">
        <w:t>5</w:t>
      </w:r>
      <w:r>
        <w:noBreakHyphen/>
      </w:r>
      <w:fldSimple w:instr=" SEQ Figure \s 1 ">
        <w:r>
          <w:rPr>
            <w:noProof/>
          </w:rPr>
          <w:t>1</w:t>
        </w:r>
      </w:fldSimple>
      <w:bookmarkEnd w:id="9"/>
      <w:r>
        <w:fldChar w:fldCharType="begin"/>
      </w:r>
      <w:r>
        <w:instrText xml:space="preserve"> TC  \f G "</w:instrText>
      </w:r>
      <w:fldSimple w:instr=" STYLEREF &quot;Heading 1&quot;\l \n \t  \* MERGEFORMAT ">
        <w:bookmarkStart w:id="10" w:name="_Toc140467542"/>
        <w:r>
          <w:rPr>
            <w:noProof/>
          </w:rPr>
          <w:instrText>1</w:instrText>
        </w:r>
      </w:fldSimple>
      <w:r>
        <w:instrText>-</w:instrText>
      </w:r>
      <w:r>
        <w:fldChar w:fldCharType="begin"/>
      </w:r>
      <w:r>
        <w:instrText xml:space="preserve"> SEQ Figure_TOC \s 1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tab/>
        <w:instrText>Proximity Time Tagging and Time Correlation</w:instrText>
      </w:r>
      <w:bookmarkEnd w:id="10"/>
      <w:r>
        <w:instrText>"</w:instrText>
      </w:r>
      <w:r>
        <w:fldChar w:fldCharType="end"/>
      </w:r>
      <w:r>
        <w:t>:  Proximity Time Tagging and Time Correlation</w:t>
      </w:r>
    </w:p>
    <w:p w14:paraId="10ED9D34" w14:textId="77777777" w:rsidR="00800A0F" w:rsidRDefault="00800A0F" w:rsidP="00CF1958">
      <w:pPr>
        <w:pStyle w:val="Heading2"/>
      </w:pPr>
      <w:r>
        <w:t xml:space="preserve">Transferring </w:t>
      </w:r>
      <w:r>
        <w:rPr>
          <w:szCs w:val="24"/>
        </w:rPr>
        <w:t xml:space="preserve">time </w:t>
      </w:r>
      <w:r>
        <w:t>to a Remote Asset</w:t>
      </w:r>
    </w:p>
    <w:p w14:paraId="06B481C0" w14:textId="77777777" w:rsidR="00800A0F" w:rsidRPr="00472B11" w:rsidRDefault="00800A0F" w:rsidP="00800A0F">
      <w:pPr>
        <w:pStyle w:val="Paragraph3"/>
      </w:pPr>
      <w:r>
        <w:t>A Proximity-1 transceiver shall provide the capability of distributing time to a remote asset.</w:t>
      </w:r>
      <w:r w:rsidR="00573C36">
        <w:t xml:space="preserve">   </w:t>
      </w:r>
    </w:p>
    <w:p w14:paraId="55E25C85" w14:textId="77777777" w:rsidR="00800A0F" w:rsidRDefault="00800A0F" w:rsidP="00800A0F">
      <w:pPr>
        <w:pStyle w:val="Notelevel1"/>
      </w:pPr>
      <w:r>
        <w:t>NOTE</w:t>
      </w:r>
      <w:r>
        <w:tab/>
        <w:t>–</w:t>
      </w:r>
      <w:r>
        <w:tab/>
        <w:t xml:space="preserve">In order to transfer time to a remote asset (i.e., the </w:t>
      </w:r>
      <w:r w:rsidR="00843F7B">
        <w:t>responder</w:t>
      </w:r>
      <w:r>
        <w:t xml:space="preserve">), the initiator must </w:t>
      </w:r>
      <w:r w:rsidR="00573C36">
        <w:t>maintain</w:t>
      </w:r>
      <w:r>
        <w:t xml:space="preserve"> correlation </w:t>
      </w:r>
      <w:r w:rsidR="00573C36">
        <w:t xml:space="preserve">to </w:t>
      </w:r>
      <w:r>
        <w:rPr>
          <w:szCs w:val="24"/>
        </w:rPr>
        <w:t>the master clock for the Enterprise</w:t>
      </w:r>
      <w:r>
        <w:t xml:space="preserve"> and its local Proximity clock.</w:t>
      </w:r>
    </w:p>
    <w:p w14:paraId="680435E0" w14:textId="4CA6E48E" w:rsidR="00800A0F" w:rsidRDefault="00800A0F" w:rsidP="00800A0F">
      <w:r>
        <w:t xml:space="preserve">The method for transferring </w:t>
      </w:r>
      <w:r>
        <w:rPr>
          <w:szCs w:val="24"/>
        </w:rPr>
        <w:t>time</w:t>
      </w:r>
      <w:r>
        <w:t xml:space="preserve"> to a remote asset shall consist of the following steps</w:t>
      </w:r>
      <w:r w:rsidR="00330BFA">
        <w:t xml:space="preserve"> (See figure 5-2)</w:t>
      </w:r>
      <w:r>
        <w:t>:</w:t>
      </w:r>
    </w:p>
    <w:p w14:paraId="0493D13C" w14:textId="11DF8AEF" w:rsidR="008E3ED2" w:rsidRDefault="00573C36" w:rsidP="00800A0F">
      <w:pPr>
        <w:pStyle w:val="List"/>
        <w:numPr>
          <w:ilvl w:val="0"/>
          <w:numId w:val="3"/>
        </w:numPr>
      </w:pPr>
      <w:r>
        <w:t xml:space="preserve">Prior </w:t>
      </w:r>
      <w:r w:rsidR="00330BFA">
        <w:t xml:space="preserve">to </w:t>
      </w:r>
      <w:r>
        <w:t xml:space="preserve">the desired transfer of </w:t>
      </w:r>
      <w:r w:rsidR="00330BFA">
        <w:t xml:space="preserve">Enterprise </w:t>
      </w:r>
      <w:r>
        <w:t xml:space="preserve">time to a </w:t>
      </w:r>
      <w:r w:rsidR="008E3ED2">
        <w:t xml:space="preserve">remote </w:t>
      </w:r>
      <w:r w:rsidR="00330BFA">
        <w:t>node,</w:t>
      </w:r>
      <w:r w:rsidR="008E3ED2">
        <w:t xml:space="preserve"> the initiator’s </w:t>
      </w:r>
      <w:r w:rsidR="00330BFA">
        <w:t xml:space="preserve">vehicle </w:t>
      </w:r>
      <w:r w:rsidR="008E3ED2">
        <w:t>control</w:t>
      </w:r>
      <w:r w:rsidR="00330BFA">
        <w:t>ler</w:t>
      </w:r>
      <w:r w:rsidR="008E3ED2">
        <w:t xml:space="preserve"> will need to acquire/determine the </w:t>
      </w:r>
      <w:proofErr w:type="gramStart"/>
      <w:r w:rsidR="008E3ED2">
        <w:t>one way</w:t>
      </w:r>
      <w:proofErr w:type="gramEnd"/>
      <w:r w:rsidR="008E3ED2">
        <w:t xml:space="preserve"> light time between itself and the remote </w:t>
      </w:r>
      <w:r w:rsidR="00330BFA">
        <w:t>node</w:t>
      </w:r>
      <w:r w:rsidR="008E3ED2">
        <w:t xml:space="preserve"> for the instant that the transfer will be initiated. The </w:t>
      </w:r>
      <w:r w:rsidR="00330BFA">
        <w:t xml:space="preserve">vehicle </w:t>
      </w:r>
      <w:r w:rsidR="008E3ED2">
        <w:t>controller will add that amount of time to the Enterprise time for when the</w:t>
      </w:r>
      <w:r w:rsidR="00330BFA">
        <w:t xml:space="preserve"> transfer will be initiated. This</w:t>
      </w:r>
      <w:r w:rsidR="008E3ED2">
        <w:t xml:space="preserve"> computed time will be formatted </w:t>
      </w:r>
      <w:r w:rsidR="00330BFA">
        <w:t>as a</w:t>
      </w:r>
      <w:r w:rsidR="008E3ED2">
        <w:t xml:space="preserve"> CCSDS </w:t>
      </w:r>
      <w:proofErr w:type="spellStart"/>
      <w:r w:rsidR="008E3ED2">
        <w:t>unsegmented</w:t>
      </w:r>
      <w:proofErr w:type="spellEnd"/>
      <w:r w:rsidR="008E3ED2">
        <w:t xml:space="preserve"> time code</w:t>
      </w:r>
      <w:r w:rsidR="00330BFA">
        <w:t xml:space="preserve"> format (reference [7]).</w:t>
      </w:r>
    </w:p>
    <w:p w14:paraId="35CE8BC4" w14:textId="4C0A1787" w:rsidR="00800A0F" w:rsidRDefault="008E3ED2" w:rsidP="00800A0F">
      <w:pPr>
        <w:pStyle w:val="List"/>
        <w:numPr>
          <w:ilvl w:val="0"/>
          <w:numId w:val="3"/>
        </w:numPr>
      </w:pPr>
      <w:r>
        <w:lastRenderedPageBreak/>
        <w:t xml:space="preserve">At the desired </w:t>
      </w:r>
      <w:r w:rsidR="00330BFA">
        <w:t xml:space="preserve">transfer </w:t>
      </w:r>
      <w:r>
        <w:t>time</w:t>
      </w:r>
      <w:r w:rsidR="00330BFA">
        <w:t xml:space="preserve">, </w:t>
      </w:r>
      <w:r>
        <w:t xml:space="preserve">the </w:t>
      </w:r>
      <w:r w:rsidR="00330BFA">
        <w:t xml:space="preserve">vehicle </w:t>
      </w:r>
      <w:r>
        <w:t>controller will command its transceiver to formulate a</w:t>
      </w:r>
      <w:r w:rsidR="00800A0F">
        <w:t xml:space="preserve"> </w:t>
      </w:r>
      <w:r w:rsidR="00800A0F">
        <w:rPr>
          <w:rStyle w:val="directive"/>
        </w:rPr>
        <w:t xml:space="preserve">Time Distribution </w:t>
      </w:r>
      <w:r w:rsidR="00800A0F">
        <w:t>directive</w:t>
      </w:r>
      <w:r>
        <w:t xml:space="preserve"> including the predetermined Enterprise time that is to be transmitted</w:t>
      </w:r>
      <w:r w:rsidR="00800A0F">
        <w:t xml:space="preserve"> over the Proximity link.  </w:t>
      </w:r>
    </w:p>
    <w:p w14:paraId="4FD4B50B" w14:textId="2D5756B1" w:rsidR="008E3ED2" w:rsidRDefault="008E3ED2" w:rsidP="00800A0F">
      <w:pPr>
        <w:pStyle w:val="List"/>
        <w:numPr>
          <w:ilvl w:val="0"/>
          <w:numId w:val="3"/>
        </w:numPr>
      </w:pPr>
      <w:r>
        <w:t xml:space="preserve">Upon receipt of the </w:t>
      </w:r>
      <w:r>
        <w:rPr>
          <w:rStyle w:val="directive"/>
        </w:rPr>
        <w:t xml:space="preserve">Time Distribution </w:t>
      </w:r>
      <w:r>
        <w:t>directive</w:t>
      </w:r>
      <w:r w:rsidR="00245CF7">
        <w:t xml:space="preserve"> the remote unit will now be able to set its clock to </w:t>
      </w:r>
      <w:r w:rsidR="00330BFA">
        <w:t xml:space="preserve">the </w:t>
      </w:r>
      <w:r w:rsidR="00245CF7">
        <w:t>Enterprise time within the mission’s accuracy requirements.</w:t>
      </w:r>
    </w:p>
    <w:p w14:paraId="2E3254D8" w14:textId="77777777" w:rsidR="00245CF7" w:rsidRDefault="00245CF7" w:rsidP="00245CF7">
      <w:pPr>
        <w:pStyle w:val="List"/>
        <w:ind w:left="360" w:firstLine="0"/>
      </w:pPr>
      <w:r>
        <w:t>Notes:  Time transfer accuracy determination must include the following:</w:t>
      </w:r>
    </w:p>
    <w:p w14:paraId="5BEDA0E2" w14:textId="77777777" w:rsidR="00245CF7" w:rsidRDefault="00245CF7" w:rsidP="00245CF7">
      <w:pPr>
        <w:pStyle w:val="List"/>
        <w:numPr>
          <w:ilvl w:val="0"/>
          <w:numId w:val="6"/>
        </w:numPr>
      </w:pPr>
      <w:r>
        <w:t>The initiator’s time accuracy error must be known.</w:t>
      </w:r>
    </w:p>
    <w:p w14:paraId="4641E3B4" w14:textId="5F1641A3" w:rsidR="00245CF7" w:rsidRDefault="00245CF7" w:rsidP="00245CF7">
      <w:pPr>
        <w:pStyle w:val="List"/>
        <w:numPr>
          <w:ilvl w:val="0"/>
          <w:numId w:val="6"/>
        </w:numPr>
      </w:pPr>
      <w:r>
        <w:t xml:space="preserve">The maximum delay from the </w:t>
      </w:r>
      <w:r w:rsidR="00330BFA">
        <w:t xml:space="preserve">vehicle </w:t>
      </w:r>
      <w:r>
        <w:t xml:space="preserve">controller’s request </w:t>
      </w:r>
      <w:r w:rsidR="00330BFA">
        <w:t>until</w:t>
      </w:r>
      <w:r>
        <w:t xml:space="preserve"> the </w:t>
      </w:r>
      <w:r>
        <w:rPr>
          <w:rStyle w:val="directive"/>
        </w:rPr>
        <w:t xml:space="preserve">Time Distribution </w:t>
      </w:r>
      <w:r>
        <w:t>directive is transmitted.</w:t>
      </w:r>
    </w:p>
    <w:p w14:paraId="68C955EB" w14:textId="77777777" w:rsidR="00245CF7" w:rsidRDefault="00245CF7" w:rsidP="00245CF7">
      <w:pPr>
        <w:pStyle w:val="List"/>
        <w:numPr>
          <w:ilvl w:val="0"/>
          <w:numId w:val="6"/>
        </w:numPr>
      </w:pPr>
      <w:r>
        <w:t>The accuracy of the one way light time computation</w:t>
      </w:r>
    </w:p>
    <w:p w14:paraId="0EF1F6EF" w14:textId="73E0FD87" w:rsidR="00245CF7" w:rsidRDefault="00245CF7" w:rsidP="00245CF7">
      <w:pPr>
        <w:pStyle w:val="List"/>
        <w:numPr>
          <w:ilvl w:val="0"/>
          <w:numId w:val="6"/>
        </w:numPr>
      </w:pPr>
      <w:r>
        <w:t xml:space="preserve">The delay from the time of receipt of the </w:t>
      </w:r>
      <w:r>
        <w:rPr>
          <w:rStyle w:val="directive"/>
        </w:rPr>
        <w:t xml:space="preserve">Time Distribution </w:t>
      </w:r>
      <w:r>
        <w:t>directive until it is loaded into the remote system master clock.</w:t>
      </w:r>
    </w:p>
    <w:p w14:paraId="739AEB24" w14:textId="13708969" w:rsidR="00792A5C" w:rsidRDefault="00330BFA">
      <w:r w:rsidRPr="00330BFA">
        <w:drawing>
          <wp:inline distT="0" distB="0" distL="0" distR="0" wp14:anchorId="3F8EEBEA" wp14:editId="6A73E4C3">
            <wp:extent cx="54864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D78C" w14:textId="2BFDC98C" w:rsidR="00330BFA" w:rsidRDefault="00330BFA" w:rsidP="00330BFA">
      <w:pPr>
        <w:pStyle w:val="FigureTitle"/>
        <w:rPr>
          <w:spacing w:val="-4"/>
        </w:rPr>
      </w:pPr>
      <w:r>
        <w:t>Figure 5</w:t>
      </w:r>
      <w:r>
        <w:noBreakHyphen/>
      </w:r>
      <w:fldSimple w:instr=" SEQ Figure \s 1 ">
        <w:r>
          <w:rPr>
            <w:noProof/>
          </w:rPr>
          <w:t>2</w:t>
        </w:r>
      </w:fldSimple>
      <w:r>
        <w:fldChar w:fldCharType="begin"/>
      </w:r>
      <w:r>
        <w:instrText xml:space="preserve"> TC  \f G "</w:instrText>
      </w:r>
      <w:fldSimple w:instr=" STYLEREF &quot;Heading 1&quot;\l \n \t  \* MERGEFORMAT ">
        <w:r>
          <w:rPr>
            <w:noProof/>
          </w:rPr>
          <w:instrText>1</w:instrText>
        </w:r>
      </w:fldSimple>
      <w:r>
        <w:instrText>-</w:instrText>
      </w:r>
      <w:r>
        <w:fldChar w:fldCharType="begin"/>
      </w:r>
      <w:r>
        <w:instrText xml:space="preserve"> SEQ Figure_TOC \s 1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>Proximity Time Tagging and Time Correlation"</w:instrText>
      </w:r>
      <w:r>
        <w:fldChar w:fldCharType="end"/>
      </w:r>
      <w:r>
        <w:t>:  Proximity Time Distribution</w:t>
      </w:r>
    </w:p>
    <w:p w14:paraId="28B4C427" w14:textId="3C88E992" w:rsidR="00330BFA" w:rsidRPr="00D42BC7" w:rsidRDefault="00D42BC7">
      <w:pPr>
        <w:rPr>
          <w:color w:val="FF0000"/>
        </w:rPr>
      </w:pPr>
      <w:r>
        <w:rPr>
          <w:color w:val="FF0000"/>
        </w:rPr>
        <w:t>Note to review team that the variable TIME COLLECTION is to be deleted from the specification since it is implementation related.</w:t>
      </w:r>
      <w:bookmarkStart w:id="11" w:name="_GoBack"/>
      <w:bookmarkEnd w:id="11"/>
    </w:p>
    <w:sectPr w:rsidR="00330BFA" w:rsidRPr="00D42BC7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F0"/>
    <w:multiLevelType w:val="singleLevel"/>
    <w:tmpl w:val="2C588E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2F25353"/>
    <w:multiLevelType w:val="hybridMultilevel"/>
    <w:tmpl w:val="9D80A2E2"/>
    <w:lvl w:ilvl="0" w:tplc="677097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87B"/>
    <w:multiLevelType w:val="singleLevel"/>
    <w:tmpl w:val="1B40EC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">
    <w:nsid w:val="414C30D3"/>
    <w:multiLevelType w:val="hybridMultilevel"/>
    <w:tmpl w:val="84542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C433D"/>
    <w:multiLevelType w:val="hybridMultilevel"/>
    <w:tmpl w:val="7E761B40"/>
    <w:lvl w:ilvl="0" w:tplc="76B213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A6502"/>
    <w:multiLevelType w:val="singleLevel"/>
    <w:tmpl w:val="477491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B5C51DE"/>
    <w:multiLevelType w:val="multilevel"/>
    <w:tmpl w:val="3174BB5A"/>
    <w:name w:val="HeadingNumbers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/>
        <w:b/>
        <w:i w:val="0"/>
        <w:sz w:val="2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F"/>
    <w:rsid w:val="00245CF7"/>
    <w:rsid w:val="00330BFA"/>
    <w:rsid w:val="003E5238"/>
    <w:rsid w:val="00573C36"/>
    <w:rsid w:val="005F2D74"/>
    <w:rsid w:val="00780CDB"/>
    <w:rsid w:val="00792A5C"/>
    <w:rsid w:val="00800A0F"/>
    <w:rsid w:val="00843F7B"/>
    <w:rsid w:val="008B5C08"/>
    <w:rsid w:val="008E3ED2"/>
    <w:rsid w:val="00927890"/>
    <w:rsid w:val="00A72065"/>
    <w:rsid w:val="00AA2ED3"/>
    <w:rsid w:val="00BC4662"/>
    <w:rsid w:val="00CC6D30"/>
    <w:rsid w:val="00CF1958"/>
    <w:rsid w:val="00CF33FB"/>
    <w:rsid w:val="00D42BC7"/>
    <w:rsid w:val="00DB48B4"/>
    <w:rsid w:val="00DC49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75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0F"/>
    <w:pPr>
      <w:spacing w:before="24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A0F"/>
    <w:pPr>
      <w:keepNext/>
      <w:keepLines/>
      <w:pageBreakBefore/>
      <w:numPr>
        <w:numId w:val="1"/>
      </w:numPr>
      <w:spacing w:before="0" w:line="240" w:lineRule="auto"/>
      <w:ind w:left="432" w:hanging="43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800A0F"/>
    <w:pPr>
      <w:keepNext/>
      <w:keepLines/>
      <w:numPr>
        <w:ilvl w:val="1"/>
        <w:numId w:val="1"/>
      </w:numPr>
      <w:spacing w:line="240" w:lineRule="auto"/>
      <w:ind w:left="576" w:hanging="576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800A0F"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800A0F"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0A0F"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00A0F"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00A0F"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800A0F"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0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00A0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800A0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800A0F"/>
    <w:rPr>
      <w:rFonts w:ascii="Times New Roman" w:eastAsia="Times New Roman" w:hAnsi="Times New Roman" w:cs="Times New Roman"/>
      <w:b/>
      <w:sz w:val="28"/>
      <w:szCs w:val="20"/>
    </w:rPr>
  </w:style>
  <w:style w:type="paragraph" w:styleId="List">
    <w:name w:val="List"/>
    <w:basedOn w:val="Normal"/>
    <w:rsid w:val="00800A0F"/>
    <w:pPr>
      <w:spacing w:before="180" w:line="240" w:lineRule="auto"/>
      <w:ind w:left="720" w:hanging="360"/>
    </w:pPr>
  </w:style>
  <w:style w:type="paragraph" w:customStyle="1" w:styleId="Paragraph3">
    <w:name w:val="Paragraph 3"/>
    <w:basedOn w:val="Heading3"/>
    <w:rsid w:val="00800A0F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</w:rPr>
  </w:style>
  <w:style w:type="paragraph" w:customStyle="1" w:styleId="Notelevel1">
    <w:name w:val="Note level 1"/>
    <w:basedOn w:val="Normal"/>
    <w:next w:val="Normal"/>
    <w:rsid w:val="00800A0F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800A0F"/>
    <w:pPr>
      <w:keepLines/>
      <w:tabs>
        <w:tab w:val="left" w:pos="1166"/>
      </w:tabs>
      <w:ind w:left="1498" w:hanging="1138"/>
    </w:pPr>
  </w:style>
  <w:style w:type="paragraph" w:customStyle="1" w:styleId="Noteslevel2">
    <w:name w:val="Notes level 2"/>
    <w:basedOn w:val="Normal"/>
    <w:rsid w:val="00800A0F"/>
    <w:pPr>
      <w:ind w:left="1080" w:hanging="720"/>
    </w:pPr>
  </w:style>
  <w:style w:type="character" w:customStyle="1" w:styleId="directive">
    <w:name w:val="directive"/>
    <w:rsid w:val="00800A0F"/>
    <w:rPr>
      <w:caps/>
      <w:sz w:val="22"/>
    </w:rPr>
  </w:style>
  <w:style w:type="character" w:customStyle="1" w:styleId="value">
    <w:name w:val="value"/>
    <w:rsid w:val="00800A0F"/>
    <w:rPr>
      <w:i/>
    </w:rPr>
  </w:style>
  <w:style w:type="character" w:customStyle="1" w:styleId="ParVar">
    <w:name w:val="ParVar"/>
    <w:rsid w:val="00800A0F"/>
    <w:rPr>
      <w:caps/>
      <w:sz w:val="22"/>
    </w:rPr>
  </w:style>
  <w:style w:type="paragraph" w:customStyle="1" w:styleId="FigureTitle">
    <w:name w:val="_Figure_Title"/>
    <w:basedOn w:val="Normal"/>
    <w:next w:val="Normal"/>
    <w:rsid w:val="00800A0F"/>
    <w:pPr>
      <w:keepLines/>
      <w:suppressAutoHyphens/>
      <w:spacing w:line="240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0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0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0F"/>
    <w:pPr>
      <w:spacing w:before="24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A0F"/>
    <w:pPr>
      <w:keepNext/>
      <w:keepLines/>
      <w:pageBreakBefore/>
      <w:numPr>
        <w:numId w:val="1"/>
      </w:numPr>
      <w:spacing w:before="0" w:line="240" w:lineRule="auto"/>
      <w:ind w:left="432" w:hanging="43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800A0F"/>
    <w:pPr>
      <w:keepNext/>
      <w:keepLines/>
      <w:numPr>
        <w:ilvl w:val="1"/>
        <w:numId w:val="1"/>
      </w:numPr>
      <w:spacing w:line="240" w:lineRule="auto"/>
      <w:ind w:left="576" w:hanging="576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800A0F"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800A0F"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0A0F"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00A0F"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00A0F"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800A0F"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0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00A0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800A0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00A0F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800A0F"/>
    <w:rPr>
      <w:rFonts w:ascii="Times New Roman" w:eastAsia="Times New Roman" w:hAnsi="Times New Roman" w:cs="Times New Roman"/>
      <w:b/>
      <w:sz w:val="28"/>
      <w:szCs w:val="20"/>
    </w:rPr>
  </w:style>
  <w:style w:type="paragraph" w:styleId="List">
    <w:name w:val="List"/>
    <w:basedOn w:val="Normal"/>
    <w:rsid w:val="00800A0F"/>
    <w:pPr>
      <w:spacing w:before="180" w:line="240" w:lineRule="auto"/>
      <w:ind w:left="720" w:hanging="360"/>
    </w:pPr>
  </w:style>
  <w:style w:type="paragraph" w:customStyle="1" w:styleId="Paragraph3">
    <w:name w:val="Paragraph 3"/>
    <w:basedOn w:val="Heading3"/>
    <w:rsid w:val="00800A0F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</w:rPr>
  </w:style>
  <w:style w:type="paragraph" w:customStyle="1" w:styleId="Notelevel1">
    <w:name w:val="Note level 1"/>
    <w:basedOn w:val="Normal"/>
    <w:next w:val="Normal"/>
    <w:rsid w:val="00800A0F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800A0F"/>
    <w:pPr>
      <w:keepLines/>
      <w:tabs>
        <w:tab w:val="left" w:pos="1166"/>
      </w:tabs>
      <w:ind w:left="1498" w:hanging="1138"/>
    </w:pPr>
  </w:style>
  <w:style w:type="paragraph" w:customStyle="1" w:styleId="Noteslevel2">
    <w:name w:val="Notes level 2"/>
    <w:basedOn w:val="Normal"/>
    <w:rsid w:val="00800A0F"/>
    <w:pPr>
      <w:ind w:left="1080" w:hanging="720"/>
    </w:pPr>
  </w:style>
  <w:style w:type="character" w:customStyle="1" w:styleId="directive">
    <w:name w:val="directive"/>
    <w:rsid w:val="00800A0F"/>
    <w:rPr>
      <w:caps/>
      <w:sz w:val="22"/>
    </w:rPr>
  </w:style>
  <w:style w:type="character" w:customStyle="1" w:styleId="value">
    <w:name w:val="value"/>
    <w:rsid w:val="00800A0F"/>
    <w:rPr>
      <w:i/>
    </w:rPr>
  </w:style>
  <w:style w:type="character" w:customStyle="1" w:styleId="ParVar">
    <w:name w:val="ParVar"/>
    <w:rsid w:val="00800A0F"/>
    <w:rPr>
      <w:caps/>
      <w:sz w:val="22"/>
    </w:rPr>
  </w:style>
  <w:style w:type="paragraph" w:customStyle="1" w:styleId="FigureTitle">
    <w:name w:val="_Figure_Title"/>
    <w:basedOn w:val="Normal"/>
    <w:next w:val="Normal"/>
    <w:rsid w:val="00800A0F"/>
    <w:pPr>
      <w:keepLines/>
      <w:suppressAutoHyphens/>
      <w:spacing w:line="240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0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Kazz, Greg J (313B)</dc:creator>
  <cp:lastModifiedBy>Kazz, Greg J (313B)</cp:lastModifiedBy>
  <cp:revision>5</cp:revision>
  <dcterms:created xsi:type="dcterms:W3CDTF">2011-05-05T22:03:00Z</dcterms:created>
  <dcterms:modified xsi:type="dcterms:W3CDTF">2011-05-05T22:24:00Z</dcterms:modified>
</cp:coreProperties>
</file>