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B38" w:rsidRDefault="00A94B38">
      <w:pPr>
        <w:pStyle w:val="Title"/>
      </w:pPr>
    </w:p>
    <w:p w:rsidR="00A94B38" w:rsidRDefault="00991500">
      <w:pPr>
        <w:pStyle w:val="BodyText"/>
      </w:pPr>
      <w:bookmarkStart w:id="0" w:name="_Toc38877444"/>
      <w:r>
        <w:t xml:space="preserve">Proposed </w:t>
      </w:r>
      <w:r w:rsidR="00FD0DFB">
        <w:t xml:space="preserve">Transponder Turnaround Ratios </w:t>
      </w:r>
      <w:r w:rsidR="00FD0DFB">
        <w:rPr>
          <w:color w:val="000000"/>
          <w:lang w:val="en-US"/>
        </w:rPr>
        <w:t>for 23.15-23.55 GHz and 27.0-27.5 GHz Bands</w:t>
      </w:r>
    </w:p>
    <w:p w:rsidR="00A94B38" w:rsidRDefault="00A94B38">
      <w:pPr>
        <w:jc w:val="center"/>
      </w:pPr>
    </w:p>
    <w:p w:rsidR="00A94B38" w:rsidRDefault="00810A32">
      <w:pPr>
        <w:jc w:val="center"/>
      </w:pPr>
      <w:r>
        <w:t xml:space="preserve">Dennis Lee, </w:t>
      </w:r>
      <w:r w:rsidR="0083325A">
        <w:t>NASA/</w:t>
      </w:r>
      <w:r>
        <w:t>JPL</w:t>
      </w:r>
    </w:p>
    <w:p w:rsidR="00352B59" w:rsidRDefault="00352B59">
      <w:pPr>
        <w:jc w:val="center"/>
      </w:pPr>
    </w:p>
    <w:p w:rsidR="00A94B38" w:rsidRDefault="00A94B38">
      <w:pPr>
        <w:jc w:val="center"/>
      </w:pPr>
    </w:p>
    <w:p w:rsidR="00A94B38" w:rsidRDefault="00810A32">
      <w:pPr>
        <w:pStyle w:val="Heading1"/>
        <w:numPr>
          <w:ilvl w:val="0"/>
          <w:numId w:val="15"/>
        </w:numPr>
        <w:jc w:val="left"/>
      </w:pPr>
      <w:r>
        <w:t>Introduction</w:t>
      </w:r>
    </w:p>
    <w:p w:rsidR="00A94B38" w:rsidRDefault="00A94B38"/>
    <w:p w:rsidR="006D4592" w:rsidRDefault="000A370C">
      <w:pPr>
        <w:pStyle w:val="List3"/>
        <w:ind w:left="0" w:firstLine="0"/>
      </w:pPr>
      <w:r>
        <w:t xml:space="preserve">Action item AI_19-03 was issued at the CCSDS Spring </w:t>
      </w:r>
      <w:r w:rsidR="00C10D5D">
        <w:t xml:space="preserve">2019 </w:t>
      </w:r>
      <w:r>
        <w:t>RFM meeting to propose a transp</w:t>
      </w:r>
      <w:r w:rsidR="007708D2">
        <w:t>onder turnaround ratio for I</w:t>
      </w:r>
      <w:r>
        <w:t>nter</w:t>
      </w:r>
      <w:r w:rsidR="007708D2">
        <w:t>-S</w:t>
      </w:r>
      <w:r>
        <w:t xml:space="preserve">atellite </w:t>
      </w:r>
      <w:r w:rsidR="007708D2">
        <w:t xml:space="preserve">Service (ISS) </w:t>
      </w:r>
      <w:r>
        <w:t xml:space="preserve">links operating in the 23.15-23.55 GHz (forward) and 27.0-27.5 GHz (return) bands.  </w:t>
      </w:r>
      <w:r w:rsidR="00CB37A1">
        <w:t xml:space="preserve">The pairing of these bands is of interest because the SFCG has recommended these </w:t>
      </w:r>
      <w:r w:rsidR="007560ED">
        <w:t xml:space="preserve">two </w:t>
      </w:r>
      <w:r w:rsidR="00CB37A1">
        <w:t xml:space="preserve">bands for lunar orbit-to-surface and lunar surface-to-orbit links, respectively [1].  In addition, some </w:t>
      </w:r>
      <w:r w:rsidR="00C151FD">
        <w:t xml:space="preserve">elements of the </w:t>
      </w:r>
      <w:r w:rsidR="00CB37A1">
        <w:t>Lunar Gateway program plan on using these</w:t>
      </w:r>
      <w:r w:rsidR="00C151FD">
        <w:t xml:space="preserve"> Ka-band</w:t>
      </w:r>
      <w:r w:rsidR="00CB37A1">
        <w:t xml:space="preserve"> frequencies for high rate proximity links around the Moon.</w:t>
      </w:r>
      <w:r w:rsidR="00D909EF">
        <w:t xml:space="preserve">  </w:t>
      </w:r>
    </w:p>
    <w:p w:rsidR="006D4592" w:rsidRDefault="006D4592">
      <w:pPr>
        <w:pStyle w:val="List3"/>
        <w:ind w:left="0" w:firstLine="0"/>
      </w:pPr>
    </w:p>
    <w:p w:rsidR="00A94B38" w:rsidRDefault="00D909EF">
      <w:pPr>
        <w:pStyle w:val="Heading1"/>
        <w:numPr>
          <w:ilvl w:val="0"/>
          <w:numId w:val="15"/>
        </w:numPr>
        <w:jc w:val="left"/>
      </w:pPr>
      <w:r>
        <w:t>Transponder Turnaround Frequency Ratio (TTFR)</w:t>
      </w:r>
      <w:r w:rsidR="0035399D">
        <w:t xml:space="preserve"> Selection</w:t>
      </w:r>
    </w:p>
    <w:p w:rsidR="006D4592" w:rsidRDefault="006D4592" w:rsidP="006D4592">
      <w:pPr>
        <w:rPr>
          <w:lang w:val="en-US"/>
        </w:rPr>
      </w:pPr>
    </w:p>
    <w:p w:rsidR="002558B8" w:rsidRDefault="00D909EF" w:rsidP="00D909EF">
      <w:pPr>
        <w:rPr>
          <w:lang w:val="en-US"/>
        </w:rPr>
      </w:pPr>
      <w:r>
        <w:rPr>
          <w:lang w:val="en-US"/>
        </w:rPr>
        <w:t xml:space="preserve">For these </w:t>
      </w:r>
      <w:r w:rsidR="001A5987">
        <w:rPr>
          <w:lang w:val="en-US"/>
        </w:rPr>
        <w:t xml:space="preserve">ISS </w:t>
      </w:r>
      <w:r>
        <w:rPr>
          <w:lang w:val="en-US"/>
        </w:rPr>
        <w:t xml:space="preserve">frequency bands, the allocated bandwidth on the </w:t>
      </w:r>
      <w:r w:rsidR="002558B8">
        <w:rPr>
          <w:lang w:val="en-US"/>
        </w:rPr>
        <w:t xml:space="preserve">Ka </w:t>
      </w:r>
      <w:r>
        <w:rPr>
          <w:lang w:val="en-US"/>
        </w:rPr>
        <w:t xml:space="preserve">forward link is 400 MHz and the allocated bandwidth on the </w:t>
      </w:r>
      <w:r w:rsidR="002558B8">
        <w:rPr>
          <w:lang w:val="en-US"/>
        </w:rPr>
        <w:t xml:space="preserve">Ka </w:t>
      </w:r>
      <w:r>
        <w:rPr>
          <w:lang w:val="en-US"/>
        </w:rPr>
        <w:t xml:space="preserve">return link is 500 MHz.  Thus it is </w:t>
      </w:r>
      <w:r w:rsidR="002558B8">
        <w:rPr>
          <w:lang w:val="en-US"/>
        </w:rPr>
        <w:t xml:space="preserve">only </w:t>
      </w:r>
      <w:r>
        <w:rPr>
          <w:lang w:val="en-US"/>
        </w:rPr>
        <w:t xml:space="preserve">possible </w:t>
      </w:r>
      <w:r w:rsidR="002558B8">
        <w:rPr>
          <w:lang w:val="en-US"/>
        </w:rPr>
        <w:t xml:space="preserve">for a single TTFR to cover </w:t>
      </w:r>
      <w:r>
        <w:rPr>
          <w:lang w:val="en-US"/>
        </w:rPr>
        <w:t>about 467 MHz of the return link band.  Two TTFRs would be needed to cover the entire</w:t>
      </w:r>
      <w:r w:rsidR="002558B8">
        <w:rPr>
          <w:lang w:val="en-US"/>
        </w:rPr>
        <w:t xml:space="preserve"> 27.0-27.5 GHz</w:t>
      </w:r>
      <w:r>
        <w:rPr>
          <w:lang w:val="en-US"/>
        </w:rPr>
        <w:t xml:space="preserve"> </w:t>
      </w:r>
      <w:r w:rsidR="002558B8">
        <w:rPr>
          <w:lang w:val="en-US"/>
        </w:rPr>
        <w:t xml:space="preserve">range.  However, </w:t>
      </w:r>
      <w:r>
        <w:rPr>
          <w:lang w:val="en-US"/>
        </w:rPr>
        <w:t xml:space="preserve">not every </w:t>
      </w:r>
      <w:r w:rsidR="00935FB0">
        <w:rPr>
          <w:lang w:val="en-US"/>
        </w:rPr>
        <w:t>proximity link will require frequency coherency between the forward and return links.</w:t>
      </w:r>
      <w:r w:rsidR="00EF3D44">
        <w:rPr>
          <w:lang w:val="en-US"/>
        </w:rPr>
        <w:t xml:space="preserve">  </w:t>
      </w:r>
      <w:r w:rsidR="002558B8">
        <w:rPr>
          <w:lang w:val="en-US"/>
        </w:rPr>
        <w:t>A</w:t>
      </w:r>
      <w:r w:rsidR="00A0103A">
        <w:rPr>
          <w:lang w:val="en-US"/>
        </w:rPr>
        <w:t xml:space="preserve">lso </w:t>
      </w:r>
      <w:r w:rsidR="002558B8">
        <w:rPr>
          <w:lang w:val="en-US"/>
        </w:rPr>
        <w:t xml:space="preserve">it should be noted </w:t>
      </w:r>
      <w:r w:rsidR="00A0103A">
        <w:rPr>
          <w:lang w:val="en-US"/>
        </w:rPr>
        <w:t xml:space="preserve">that it is less </w:t>
      </w:r>
      <w:r w:rsidR="002558B8">
        <w:rPr>
          <w:lang w:val="en-US"/>
        </w:rPr>
        <w:t>important</w:t>
      </w:r>
      <w:r w:rsidR="00A0103A">
        <w:rPr>
          <w:lang w:val="en-US"/>
        </w:rPr>
        <w:t xml:space="preserve"> for the TTFRs to cover the edges of the band, since the carrier frequency cannot be too close to the band edge in order to avoid having the modulation sidebands extend outside the allocation.  This is particularly true for high data rate applications envisioned for use in the Ka-band intersatellite links.  </w:t>
      </w:r>
    </w:p>
    <w:p w:rsidR="002558B8" w:rsidRDefault="002558B8" w:rsidP="00D909EF">
      <w:pPr>
        <w:rPr>
          <w:lang w:val="en-US"/>
        </w:rPr>
      </w:pPr>
    </w:p>
    <w:p w:rsidR="00204EBD" w:rsidRDefault="002558B8" w:rsidP="00D909EF">
      <w:pPr>
        <w:rPr>
          <w:lang w:val="en-US"/>
        </w:rPr>
      </w:pPr>
      <w:r>
        <w:rPr>
          <w:lang w:val="en-US"/>
        </w:rPr>
        <w:t>S</w:t>
      </w:r>
      <w:r w:rsidR="00EF3D44">
        <w:rPr>
          <w:lang w:val="en-US"/>
        </w:rPr>
        <w:t xml:space="preserve">ince a single turnaround ratio can cover </w:t>
      </w:r>
      <w:r w:rsidR="00A0103A">
        <w:rPr>
          <w:lang w:val="en-US"/>
        </w:rPr>
        <w:t xml:space="preserve">&gt; 90% of the 27-27.5 GHz </w:t>
      </w:r>
      <w:r>
        <w:rPr>
          <w:lang w:val="en-US"/>
        </w:rPr>
        <w:t xml:space="preserve">frequency range, the decision was made for this study </w:t>
      </w:r>
      <w:r w:rsidR="00A0103A">
        <w:rPr>
          <w:lang w:val="en-US"/>
        </w:rPr>
        <w:t>to select a single turnaround ratio rather than having two turnaround ratios</w:t>
      </w:r>
      <w:r>
        <w:rPr>
          <w:lang w:val="en-US"/>
        </w:rPr>
        <w:t>.  This has an advantage of</w:t>
      </w:r>
      <w:r w:rsidR="00050C3A">
        <w:rPr>
          <w:lang w:val="en-US"/>
        </w:rPr>
        <w:t xml:space="preserve"> simplify</w:t>
      </w:r>
      <w:r>
        <w:rPr>
          <w:lang w:val="en-US"/>
        </w:rPr>
        <w:t>ing</w:t>
      </w:r>
      <w:r w:rsidR="00050C3A">
        <w:rPr>
          <w:lang w:val="en-US"/>
        </w:rPr>
        <w:t xml:space="preserve"> the recommendation</w:t>
      </w:r>
      <w:r>
        <w:rPr>
          <w:lang w:val="en-US"/>
        </w:rPr>
        <w:t>, as well as making cross-support easier</w:t>
      </w:r>
      <w:r w:rsidR="00A0103A">
        <w:rPr>
          <w:lang w:val="en-US"/>
        </w:rPr>
        <w:t>.</w:t>
      </w:r>
      <w:r w:rsidR="00E67DE2">
        <w:rPr>
          <w:lang w:val="en-US"/>
        </w:rPr>
        <w:t xml:space="preserve">  Ther</w:t>
      </w:r>
      <w:r w:rsidR="00040487">
        <w:rPr>
          <w:lang w:val="en-US"/>
        </w:rPr>
        <w:t>e are examples of</w:t>
      </w:r>
      <w:r w:rsidR="00E67DE2">
        <w:rPr>
          <w:lang w:val="en-US"/>
        </w:rPr>
        <w:t xml:space="preserve"> </w:t>
      </w:r>
      <w:r w:rsidR="00040487">
        <w:rPr>
          <w:lang w:val="en-US"/>
        </w:rPr>
        <w:t xml:space="preserve">other </w:t>
      </w:r>
      <w:r w:rsidR="00E67DE2">
        <w:rPr>
          <w:lang w:val="en-US"/>
        </w:rPr>
        <w:t>turnaround ratio recommendations in the 401 Blue Book which do not cover the entire band</w:t>
      </w:r>
      <w:r w:rsidR="00040487">
        <w:rPr>
          <w:lang w:val="en-US"/>
        </w:rPr>
        <w:t xml:space="preserve">; one such example is the S-up/X-down TTFR in Recommendation 2.6.5B. </w:t>
      </w:r>
    </w:p>
    <w:p w:rsidR="00935FB0" w:rsidRDefault="00935FB0" w:rsidP="00D909EF">
      <w:pPr>
        <w:rPr>
          <w:lang w:val="en-US"/>
        </w:rPr>
      </w:pPr>
    </w:p>
    <w:p w:rsidR="00C82798" w:rsidRDefault="00C82798" w:rsidP="00D909EF">
      <w:pPr>
        <w:rPr>
          <w:lang w:val="en-US"/>
        </w:rPr>
      </w:pPr>
      <w:r>
        <w:rPr>
          <w:lang w:val="en-US"/>
        </w:rPr>
        <w:t xml:space="preserve">One option </w:t>
      </w:r>
      <w:r w:rsidR="00E94337">
        <w:rPr>
          <w:lang w:val="en-US"/>
        </w:rPr>
        <w:t>for</w:t>
      </w:r>
      <w:r w:rsidR="002558B8">
        <w:rPr>
          <w:lang w:val="en-US"/>
        </w:rPr>
        <w:t xml:space="preserve"> selecting</w:t>
      </w:r>
      <w:r w:rsidR="00E94337">
        <w:rPr>
          <w:lang w:val="en-US"/>
        </w:rPr>
        <w:t xml:space="preserve"> the TTFR </w:t>
      </w:r>
      <w:r>
        <w:rPr>
          <w:lang w:val="en-US"/>
        </w:rPr>
        <w:t>is to reuse one of the turnaround ratio</w:t>
      </w:r>
      <w:r w:rsidR="002558B8">
        <w:rPr>
          <w:lang w:val="en-US"/>
        </w:rPr>
        <w:t xml:space="preserve">s for the 22/26 GHz bands </w:t>
      </w:r>
      <w:r>
        <w:rPr>
          <w:lang w:val="en-US"/>
        </w:rPr>
        <w:t xml:space="preserve">in Recommendation </w:t>
      </w:r>
      <w:r w:rsidR="002558B8">
        <w:rPr>
          <w:lang w:val="en-US"/>
        </w:rPr>
        <w:t xml:space="preserve">(401) </w:t>
      </w:r>
      <w:r>
        <w:rPr>
          <w:lang w:val="en-US"/>
        </w:rPr>
        <w:t>2.6.14</w:t>
      </w:r>
      <w:r w:rsidR="002558B8">
        <w:rPr>
          <w:lang w:val="en-US"/>
        </w:rPr>
        <w:t>, which was approved by the RFM working group and is</w:t>
      </w:r>
      <w:r>
        <w:rPr>
          <w:lang w:val="en-US"/>
        </w:rPr>
        <w:t xml:space="preserve"> currently under agency review.  </w:t>
      </w:r>
      <w:r w:rsidR="00E94337">
        <w:rPr>
          <w:lang w:val="en-US"/>
        </w:rPr>
        <w:t xml:space="preserve">The advantage of this option would be the potential reuse of transponder hardware.  </w:t>
      </w:r>
      <w:r w:rsidR="002558B8">
        <w:rPr>
          <w:lang w:val="en-US"/>
        </w:rPr>
        <w:t>For example</w:t>
      </w:r>
      <w:r w:rsidR="00E94337">
        <w:rPr>
          <w:lang w:val="en-US"/>
        </w:rPr>
        <w:t xml:space="preserve">, one could envision a </w:t>
      </w:r>
      <w:r w:rsidR="002558B8">
        <w:rPr>
          <w:lang w:val="en-US"/>
        </w:rPr>
        <w:t xml:space="preserve">mission employing a </w:t>
      </w:r>
      <w:r w:rsidR="00E94337">
        <w:rPr>
          <w:lang w:val="en-US"/>
        </w:rPr>
        <w:t xml:space="preserve">single transponder that could be used to support Ka-band uplinks and downlinks with Earth in the 22 and 26 GHz bands, while also supporting intersatellite links in the 23 and 27 GHz bands.  </w:t>
      </w:r>
      <w:r w:rsidR="00D0017B">
        <w:rPr>
          <w:lang w:val="en-US"/>
        </w:rPr>
        <w:t>Of the</w:t>
      </w:r>
      <w:r w:rsidR="002558B8">
        <w:rPr>
          <w:lang w:val="en-US"/>
        </w:rPr>
        <w:t xml:space="preserve"> three turnaround ratios in R</w:t>
      </w:r>
      <w:r w:rsidR="00D0017B">
        <w:rPr>
          <w:lang w:val="en-US"/>
        </w:rPr>
        <w:t>ecommendation</w:t>
      </w:r>
      <w:r w:rsidR="002558B8">
        <w:rPr>
          <w:lang w:val="en-US"/>
        </w:rPr>
        <w:t xml:space="preserve"> 2.6.14</w:t>
      </w:r>
      <w:r w:rsidR="00D0017B">
        <w:rPr>
          <w:lang w:val="en-US"/>
        </w:rPr>
        <w:t xml:space="preserve">, the 2407/2816 turnaround ratio would cover about 416 MHz of the </w:t>
      </w:r>
      <w:r w:rsidR="002558B8">
        <w:rPr>
          <w:lang w:val="en-US"/>
        </w:rPr>
        <w:t xml:space="preserve">ISS </w:t>
      </w:r>
      <w:r w:rsidR="00D0017B">
        <w:rPr>
          <w:lang w:val="en-US"/>
        </w:rPr>
        <w:t>return link band</w:t>
      </w:r>
      <w:r w:rsidR="00E94337">
        <w:rPr>
          <w:lang w:val="en-US"/>
        </w:rPr>
        <w:t>.</w:t>
      </w:r>
      <w:r w:rsidR="007708D2">
        <w:rPr>
          <w:lang w:val="en-US"/>
        </w:rPr>
        <w:t xml:space="preserve">  However with this TTFR, the lower 84 MHz of the 27.0-27.5 GHz band cannot be used for coherent ISS communications.</w:t>
      </w:r>
    </w:p>
    <w:p w:rsidR="00EF3D44" w:rsidRDefault="00EF3D44" w:rsidP="00D909EF">
      <w:pPr>
        <w:rPr>
          <w:lang w:val="en-US"/>
        </w:rPr>
      </w:pPr>
    </w:p>
    <w:p w:rsidR="0035399D" w:rsidRDefault="00EF3D44" w:rsidP="00D909EF">
      <w:pPr>
        <w:rPr>
          <w:lang w:val="en-US"/>
        </w:rPr>
      </w:pPr>
      <w:r>
        <w:rPr>
          <w:lang w:val="en-US"/>
        </w:rPr>
        <w:t xml:space="preserve">Using the same criteria used to select the 22/26 GHz TTFRs in [2], other candidate TTFRs are shown in Table 1.  Of particular interest is the 2407/2808 </w:t>
      </w:r>
      <w:r w:rsidR="00E94337">
        <w:rPr>
          <w:lang w:val="en-US"/>
        </w:rPr>
        <w:t xml:space="preserve">turnaround ratio, </w:t>
      </w:r>
      <w:r w:rsidR="00E94337">
        <w:rPr>
          <w:lang w:val="en-US"/>
        </w:rPr>
        <w:lastRenderedPageBreak/>
        <w:t xml:space="preserve">which would maximize coverage of the return link band.  </w:t>
      </w:r>
      <w:r w:rsidR="00807C28">
        <w:rPr>
          <w:lang w:val="en-US"/>
        </w:rPr>
        <w:t xml:space="preserve">It provides the maximum coherent frequency range coverage of the </w:t>
      </w:r>
      <w:r w:rsidR="00DF773C">
        <w:rPr>
          <w:lang w:val="en-US"/>
        </w:rPr>
        <w:t xml:space="preserve">return link (about 467 MHz), and is fairly well centered in the band.  </w:t>
      </w:r>
      <w:r w:rsidR="0035399D">
        <w:rPr>
          <w:lang w:val="en-US"/>
        </w:rPr>
        <w:t>It also has other properties desirable for a turnaround ratio, and was a candidate for the 22/26 GHz turnaround ratio recommendation.</w:t>
      </w:r>
    </w:p>
    <w:p w:rsidR="0035399D" w:rsidRDefault="0035399D" w:rsidP="00D909EF">
      <w:pPr>
        <w:rPr>
          <w:lang w:val="en-US"/>
        </w:rPr>
      </w:pPr>
    </w:p>
    <w:p w:rsidR="00EF3D44" w:rsidRDefault="00DF773C" w:rsidP="00D909EF">
      <w:pPr>
        <w:rPr>
          <w:lang w:val="en-US"/>
        </w:rPr>
      </w:pPr>
      <w:r>
        <w:rPr>
          <w:lang w:val="en-US"/>
        </w:rPr>
        <w:t xml:space="preserve">Objectively, the 2407/2808 turnaround ratio is better than the 2407/2816 TTFR </w:t>
      </w:r>
      <w:r w:rsidR="00835F99">
        <w:rPr>
          <w:lang w:val="en-US"/>
        </w:rPr>
        <w:t>if</w:t>
      </w:r>
      <w:r>
        <w:rPr>
          <w:lang w:val="en-US"/>
        </w:rPr>
        <w:t xml:space="preserve"> the hardware re-use factor is</w:t>
      </w:r>
      <w:r w:rsidR="00835F99">
        <w:rPr>
          <w:lang w:val="en-US"/>
        </w:rPr>
        <w:t xml:space="preserve"> not taken into account</w:t>
      </w:r>
      <w:r>
        <w:rPr>
          <w:lang w:val="en-US"/>
        </w:rPr>
        <w:t xml:space="preserve">.  </w:t>
      </w:r>
      <w:r w:rsidR="00835F99">
        <w:rPr>
          <w:lang w:val="en-US"/>
        </w:rPr>
        <w:t>I</w:t>
      </w:r>
      <w:r>
        <w:rPr>
          <w:lang w:val="en-US"/>
        </w:rPr>
        <w:t>n the current Lunar Gateway architecture</w:t>
      </w:r>
      <w:r w:rsidR="00835F99">
        <w:rPr>
          <w:lang w:val="en-US"/>
        </w:rPr>
        <w:t>,</w:t>
      </w:r>
      <w:r>
        <w:rPr>
          <w:lang w:val="en-US"/>
        </w:rPr>
        <w:t xml:space="preserve"> there is no requirement for the Ka-band transponder to also serve as the Ka-band proximity radio.</w:t>
      </w:r>
      <w:r w:rsidR="00586F9D">
        <w:rPr>
          <w:lang w:val="en-US"/>
        </w:rPr>
        <w:t xml:space="preserve">  Another possibility</w:t>
      </w:r>
      <w:r w:rsidR="00835F99">
        <w:rPr>
          <w:lang w:val="en-US"/>
        </w:rPr>
        <w:t xml:space="preserve"> would be to revise Recommendation</w:t>
      </w:r>
      <w:r w:rsidR="00586F9D">
        <w:rPr>
          <w:lang w:val="en-US"/>
        </w:rPr>
        <w:t xml:space="preserve"> 2.6.14 so that the 2407/2808 TTFR is used instead of 2407/2816.</w:t>
      </w:r>
      <w:r w:rsidR="00835F99">
        <w:rPr>
          <w:lang w:val="en-US"/>
        </w:rPr>
        <w:t xml:space="preserve">  </w:t>
      </w:r>
    </w:p>
    <w:p w:rsidR="00C82798" w:rsidRDefault="00C82798" w:rsidP="00D909EF">
      <w:pPr>
        <w:rPr>
          <w:lang w:val="en-US"/>
        </w:rPr>
      </w:pPr>
    </w:p>
    <w:p w:rsidR="00935FB0" w:rsidRPr="00AD067A" w:rsidRDefault="00935FB0" w:rsidP="00935FB0">
      <w:pPr>
        <w:jc w:val="center"/>
        <w:rPr>
          <w:b/>
          <w:sz w:val="22"/>
        </w:rPr>
      </w:pPr>
      <w:r w:rsidRPr="00AD067A">
        <w:rPr>
          <w:b/>
          <w:sz w:val="22"/>
        </w:rPr>
        <w:t xml:space="preserve">Table 1.  Candidate  TTFRs for the </w:t>
      </w:r>
      <w:r w:rsidR="00D0017B" w:rsidRPr="00AD067A">
        <w:rPr>
          <w:b/>
          <w:sz w:val="22"/>
        </w:rPr>
        <w:t>23/27</w:t>
      </w:r>
      <w:r w:rsidRPr="00AD067A">
        <w:rPr>
          <w:b/>
          <w:sz w:val="22"/>
        </w:rPr>
        <w:t xml:space="preserve"> GHz </w:t>
      </w:r>
      <w:r w:rsidR="004C460A" w:rsidRPr="00AD067A">
        <w:rPr>
          <w:b/>
          <w:sz w:val="22"/>
        </w:rPr>
        <w:t>Inter</w:t>
      </w:r>
      <w:r w:rsidR="00AD067A" w:rsidRPr="00AD067A">
        <w:rPr>
          <w:b/>
          <w:sz w:val="22"/>
        </w:rPr>
        <w:t>-</w:t>
      </w:r>
      <w:r w:rsidR="004C460A" w:rsidRPr="00AD067A">
        <w:rPr>
          <w:b/>
          <w:sz w:val="22"/>
        </w:rPr>
        <w:t xml:space="preserve">Satellite Service (ISS) </w:t>
      </w:r>
      <w:r w:rsidRPr="00AD067A">
        <w:rPr>
          <w:b/>
          <w:sz w:val="22"/>
        </w:rPr>
        <w:t>band</w:t>
      </w:r>
      <w:r w:rsidR="00D0017B" w:rsidRPr="00AD067A">
        <w:rPr>
          <w:b/>
          <w:sz w:val="22"/>
        </w:rPr>
        <w:t>s</w:t>
      </w:r>
    </w:p>
    <w:tbl>
      <w:tblPr>
        <w:tblStyle w:val="TableGrid"/>
        <w:tblW w:w="0" w:type="auto"/>
        <w:tblLook w:val="04A0" w:firstRow="1" w:lastRow="0" w:firstColumn="1" w:lastColumn="0" w:noHBand="0" w:noVBand="1"/>
      </w:tblPr>
      <w:tblGrid>
        <w:gridCol w:w="1339"/>
        <w:gridCol w:w="1255"/>
        <w:gridCol w:w="1930"/>
        <w:gridCol w:w="2156"/>
        <w:gridCol w:w="1616"/>
      </w:tblGrid>
      <w:tr w:rsidR="008702A0" w:rsidTr="00D0017B">
        <w:tc>
          <w:tcPr>
            <w:tcW w:w="1339" w:type="dxa"/>
          </w:tcPr>
          <w:p w:rsidR="008702A0" w:rsidRPr="008702A0" w:rsidRDefault="008702A0" w:rsidP="009F1BD4">
            <w:pPr>
              <w:jc w:val="center"/>
              <w:rPr>
                <w:sz w:val="22"/>
              </w:rPr>
            </w:pPr>
            <w:r w:rsidRPr="008702A0">
              <w:rPr>
                <w:sz w:val="22"/>
              </w:rPr>
              <w:t>Downlink Frequency Multiplier</w:t>
            </w:r>
          </w:p>
        </w:tc>
        <w:tc>
          <w:tcPr>
            <w:tcW w:w="1255" w:type="dxa"/>
          </w:tcPr>
          <w:p w:rsidR="008702A0" w:rsidRPr="008702A0" w:rsidRDefault="008702A0" w:rsidP="009F1BD4">
            <w:pPr>
              <w:jc w:val="center"/>
              <w:rPr>
                <w:sz w:val="22"/>
              </w:rPr>
            </w:pPr>
            <w:r w:rsidRPr="008702A0">
              <w:rPr>
                <w:sz w:val="22"/>
              </w:rPr>
              <w:t>Candidate TTFR</w:t>
            </w:r>
          </w:p>
        </w:tc>
        <w:tc>
          <w:tcPr>
            <w:tcW w:w="1930" w:type="dxa"/>
          </w:tcPr>
          <w:p w:rsidR="008702A0" w:rsidRPr="008702A0" w:rsidRDefault="008702A0" w:rsidP="008702A0">
            <w:pPr>
              <w:jc w:val="center"/>
              <w:rPr>
                <w:sz w:val="22"/>
              </w:rPr>
            </w:pPr>
            <w:r w:rsidRPr="008702A0">
              <w:rPr>
                <w:sz w:val="22"/>
              </w:rPr>
              <w:t>Coherent Forward Frequency Range</w:t>
            </w:r>
            <w:r>
              <w:rPr>
                <w:sz w:val="22"/>
              </w:rPr>
              <w:t xml:space="preserve"> (MHz)</w:t>
            </w:r>
          </w:p>
        </w:tc>
        <w:tc>
          <w:tcPr>
            <w:tcW w:w="2156" w:type="dxa"/>
          </w:tcPr>
          <w:p w:rsidR="008702A0" w:rsidRPr="008702A0" w:rsidRDefault="008702A0" w:rsidP="008702A0">
            <w:pPr>
              <w:jc w:val="center"/>
              <w:rPr>
                <w:sz w:val="22"/>
              </w:rPr>
            </w:pPr>
            <w:r w:rsidRPr="008702A0">
              <w:rPr>
                <w:sz w:val="22"/>
              </w:rPr>
              <w:t>Coherent Return Frequency Range</w:t>
            </w:r>
            <w:r>
              <w:rPr>
                <w:sz w:val="22"/>
              </w:rPr>
              <w:t xml:space="preserve"> (MHz)</w:t>
            </w:r>
          </w:p>
        </w:tc>
        <w:tc>
          <w:tcPr>
            <w:tcW w:w="1616" w:type="dxa"/>
          </w:tcPr>
          <w:p w:rsidR="008702A0" w:rsidRPr="008702A0" w:rsidRDefault="008702A0" w:rsidP="009F1BD4">
            <w:pPr>
              <w:jc w:val="center"/>
              <w:rPr>
                <w:sz w:val="22"/>
              </w:rPr>
            </w:pPr>
            <w:r w:rsidRPr="008702A0">
              <w:rPr>
                <w:sz w:val="22"/>
              </w:rPr>
              <w:t>Downlink Divisor Prime Factors</w:t>
            </w:r>
          </w:p>
        </w:tc>
      </w:tr>
      <w:tr w:rsidR="008702A0" w:rsidTr="00D0017B">
        <w:tc>
          <w:tcPr>
            <w:tcW w:w="1345" w:type="dxa"/>
          </w:tcPr>
          <w:p w:rsidR="008702A0" w:rsidRPr="00D0017B" w:rsidRDefault="008702A0" w:rsidP="009F1BD4">
            <w:pPr>
              <w:jc w:val="center"/>
              <w:rPr>
                <w:sz w:val="20"/>
              </w:rPr>
            </w:pPr>
            <w:r w:rsidRPr="00D0017B">
              <w:rPr>
                <w:sz w:val="20"/>
              </w:rPr>
              <w:t>2800</w:t>
            </w:r>
          </w:p>
        </w:tc>
        <w:tc>
          <w:tcPr>
            <w:tcW w:w="1260" w:type="dxa"/>
          </w:tcPr>
          <w:p w:rsidR="008702A0" w:rsidRPr="00D0017B" w:rsidRDefault="008702A0" w:rsidP="009F1BD4">
            <w:pPr>
              <w:jc w:val="center"/>
              <w:rPr>
                <w:sz w:val="20"/>
              </w:rPr>
            </w:pPr>
            <w:r w:rsidRPr="00D0017B">
              <w:rPr>
                <w:sz w:val="20"/>
              </w:rPr>
              <w:t>2407/2800</w:t>
            </w:r>
          </w:p>
        </w:tc>
        <w:tc>
          <w:tcPr>
            <w:tcW w:w="1954" w:type="dxa"/>
          </w:tcPr>
          <w:p w:rsidR="008702A0" w:rsidRPr="00D0017B" w:rsidRDefault="008702A0" w:rsidP="009F1BD4">
            <w:pPr>
              <w:jc w:val="center"/>
              <w:rPr>
                <w:sz w:val="20"/>
              </w:rPr>
            </w:pPr>
            <w:r w:rsidRPr="00D0017B">
              <w:rPr>
                <w:sz w:val="20"/>
              </w:rPr>
              <w:t>23150 – 23550</w:t>
            </w:r>
          </w:p>
        </w:tc>
        <w:tc>
          <w:tcPr>
            <w:tcW w:w="2186" w:type="dxa"/>
          </w:tcPr>
          <w:p w:rsidR="008702A0" w:rsidRPr="00D0017B" w:rsidRDefault="0004387E" w:rsidP="009F1BD4">
            <w:pPr>
              <w:jc w:val="center"/>
              <w:rPr>
                <w:sz w:val="20"/>
              </w:rPr>
            </w:pPr>
            <w:r w:rsidRPr="00D0017B">
              <w:rPr>
                <w:sz w:val="20"/>
              </w:rPr>
              <w:t>27000 – 27395</w:t>
            </w:r>
            <w:r w:rsidR="00D0017B" w:rsidRPr="00D0017B">
              <w:rPr>
                <w:sz w:val="20"/>
              </w:rPr>
              <w:t>.098</w:t>
            </w:r>
          </w:p>
        </w:tc>
        <w:tc>
          <w:tcPr>
            <w:tcW w:w="1551" w:type="dxa"/>
          </w:tcPr>
          <w:p w:rsidR="008702A0" w:rsidRPr="00D0017B" w:rsidRDefault="008702A0" w:rsidP="009F1BD4">
            <w:pPr>
              <w:jc w:val="center"/>
              <w:rPr>
                <w:sz w:val="20"/>
              </w:rPr>
            </w:pPr>
            <w:r w:rsidRPr="00D0017B">
              <w:rPr>
                <w:sz w:val="20"/>
              </w:rPr>
              <w:t xml:space="preserve"> 2,2,2,2,5,5,7</w:t>
            </w:r>
          </w:p>
        </w:tc>
      </w:tr>
      <w:tr w:rsidR="008702A0" w:rsidTr="00D0017B">
        <w:tc>
          <w:tcPr>
            <w:tcW w:w="1339" w:type="dxa"/>
          </w:tcPr>
          <w:p w:rsidR="008702A0" w:rsidRPr="00D0017B" w:rsidRDefault="008702A0" w:rsidP="009F1BD4">
            <w:pPr>
              <w:jc w:val="center"/>
              <w:rPr>
                <w:sz w:val="20"/>
              </w:rPr>
            </w:pPr>
            <w:r w:rsidRPr="00D0017B">
              <w:rPr>
                <w:sz w:val="20"/>
              </w:rPr>
              <w:t>2808</w:t>
            </w:r>
          </w:p>
        </w:tc>
        <w:tc>
          <w:tcPr>
            <w:tcW w:w="1255" w:type="dxa"/>
          </w:tcPr>
          <w:p w:rsidR="008702A0" w:rsidRPr="00D0017B" w:rsidRDefault="008702A0" w:rsidP="009F1BD4">
            <w:pPr>
              <w:jc w:val="center"/>
              <w:rPr>
                <w:sz w:val="20"/>
              </w:rPr>
            </w:pPr>
            <w:r w:rsidRPr="00D0017B">
              <w:rPr>
                <w:sz w:val="20"/>
              </w:rPr>
              <w:t>2407/2808</w:t>
            </w:r>
          </w:p>
        </w:tc>
        <w:tc>
          <w:tcPr>
            <w:tcW w:w="1930" w:type="dxa"/>
          </w:tcPr>
          <w:p w:rsidR="008702A0" w:rsidRPr="00D0017B" w:rsidRDefault="008702A0" w:rsidP="009F1BD4">
            <w:pPr>
              <w:jc w:val="center"/>
              <w:rPr>
                <w:sz w:val="20"/>
              </w:rPr>
            </w:pPr>
            <w:r w:rsidRPr="00D0017B">
              <w:rPr>
                <w:sz w:val="20"/>
              </w:rPr>
              <w:t>23150 – 23550</w:t>
            </w:r>
          </w:p>
        </w:tc>
        <w:tc>
          <w:tcPr>
            <w:tcW w:w="2156" w:type="dxa"/>
          </w:tcPr>
          <w:p w:rsidR="008702A0" w:rsidRPr="00D0017B" w:rsidRDefault="00D0017B" w:rsidP="009F1BD4">
            <w:pPr>
              <w:jc w:val="center"/>
              <w:rPr>
                <w:sz w:val="20"/>
              </w:rPr>
            </w:pPr>
            <w:r w:rsidRPr="00D0017B">
              <w:rPr>
                <w:sz w:val="20"/>
              </w:rPr>
              <w:t>27006.730 – 27473.369</w:t>
            </w:r>
          </w:p>
        </w:tc>
        <w:tc>
          <w:tcPr>
            <w:tcW w:w="1616" w:type="dxa"/>
          </w:tcPr>
          <w:p w:rsidR="008702A0" w:rsidRPr="00D0017B" w:rsidRDefault="008702A0" w:rsidP="009F1BD4">
            <w:pPr>
              <w:jc w:val="center"/>
              <w:rPr>
                <w:sz w:val="20"/>
              </w:rPr>
            </w:pPr>
            <w:r w:rsidRPr="00D0017B">
              <w:rPr>
                <w:sz w:val="20"/>
              </w:rPr>
              <w:t>2,2,2,3,3,3,13</w:t>
            </w:r>
          </w:p>
        </w:tc>
      </w:tr>
      <w:tr w:rsidR="008702A0" w:rsidTr="00D0017B">
        <w:tc>
          <w:tcPr>
            <w:tcW w:w="1339" w:type="dxa"/>
          </w:tcPr>
          <w:p w:rsidR="008702A0" w:rsidRPr="00D0017B" w:rsidRDefault="008702A0" w:rsidP="009F1BD4">
            <w:pPr>
              <w:jc w:val="center"/>
              <w:rPr>
                <w:sz w:val="20"/>
              </w:rPr>
            </w:pPr>
            <w:r w:rsidRPr="00D0017B">
              <w:rPr>
                <w:sz w:val="20"/>
              </w:rPr>
              <w:t>2816</w:t>
            </w:r>
          </w:p>
        </w:tc>
        <w:tc>
          <w:tcPr>
            <w:tcW w:w="1255" w:type="dxa"/>
          </w:tcPr>
          <w:p w:rsidR="008702A0" w:rsidRPr="00D0017B" w:rsidRDefault="008702A0" w:rsidP="009F1BD4">
            <w:pPr>
              <w:jc w:val="center"/>
              <w:rPr>
                <w:sz w:val="20"/>
              </w:rPr>
            </w:pPr>
            <w:r w:rsidRPr="00D0017B">
              <w:rPr>
                <w:sz w:val="20"/>
              </w:rPr>
              <w:t>2407/2816</w:t>
            </w:r>
          </w:p>
        </w:tc>
        <w:tc>
          <w:tcPr>
            <w:tcW w:w="1930" w:type="dxa"/>
          </w:tcPr>
          <w:p w:rsidR="008702A0" w:rsidRPr="00D0017B" w:rsidRDefault="008702A0" w:rsidP="009F1BD4">
            <w:pPr>
              <w:jc w:val="center"/>
              <w:rPr>
                <w:sz w:val="20"/>
              </w:rPr>
            </w:pPr>
            <w:r w:rsidRPr="00D0017B">
              <w:rPr>
                <w:sz w:val="20"/>
              </w:rPr>
              <w:t>23150 – 23550</w:t>
            </w:r>
          </w:p>
        </w:tc>
        <w:tc>
          <w:tcPr>
            <w:tcW w:w="2156" w:type="dxa"/>
          </w:tcPr>
          <w:p w:rsidR="008702A0" w:rsidRPr="00D0017B" w:rsidRDefault="00D0017B" w:rsidP="00D0017B">
            <w:pPr>
              <w:jc w:val="center"/>
              <w:rPr>
                <w:sz w:val="20"/>
              </w:rPr>
            </w:pPr>
            <w:r w:rsidRPr="00D0017B">
              <w:rPr>
                <w:sz w:val="20"/>
              </w:rPr>
              <w:t>27083.673</w:t>
            </w:r>
            <w:r w:rsidR="008702A0" w:rsidRPr="00D0017B">
              <w:rPr>
                <w:sz w:val="20"/>
              </w:rPr>
              <w:t>–</w:t>
            </w:r>
            <w:r w:rsidRPr="00D0017B">
              <w:rPr>
                <w:sz w:val="20"/>
              </w:rPr>
              <w:t xml:space="preserve"> 27500</w:t>
            </w:r>
          </w:p>
        </w:tc>
        <w:tc>
          <w:tcPr>
            <w:tcW w:w="1616" w:type="dxa"/>
          </w:tcPr>
          <w:p w:rsidR="008702A0" w:rsidRPr="00D0017B" w:rsidRDefault="008702A0" w:rsidP="009F1BD4">
            <w:pPr>
              <w:jc w:val="center"/>
              <w:rPr>
                <w:sz w:val="20"/>
              </w:rPr>
            </w:pPr>
            <w:r w:rsidRPr="00D0017B">
              <w:rPr>
                <w:sz w:val="20"/>
              </w:rPr>
              <w:t>2,2,2,2,2,2,2,2,11</w:t>
            </w:r>
          </w:p>
        </w:tc>
      </w:tr>
    </w:tbl>
    <w:p w:rsidR="001E7A63" w:rsidRDefault="001E7A63">
      <w:pPr>
        <w:rPr>
          <w:b/>
          <w:sz w:val="22"/>
          <w:lang w:val="en-US"/>
        </w:rPr>
      </w:pPr>
    </w:p>
    <w:p w:rsidR="00DB213F" w:rsidRDefault="00DB213F" w:rsidP="004C42CA">
      <w:pPr>
        <w:pStyle w:val="Heading1"/>
        <w:numPr>
          <w:ilvl w:val="0"/>
          <w:numId w:val="15"/>
        </w:numPr>
        <w:jc w:val="left"/>
      </w:pPr>
      <w:r>
        <w:t>Summary</w:t>
      </w:r>
    </w:p>
    <w:p w:rsidR="00DB213F" w:rsidRDefault="00DB213F" w:rsidP="00DB213F"/>
    <w:p w:rsidR="00835F99" w:rsidRDefault="00E67DE2" w:rsidP="00DB213F">
      <w:r>
        <w:t xml:space="preserve">The selection of a TTFR for intersatellite links in the 23.15-23.55 GHz and 27-27.5 GHz bands is discussed in this paper.  A single TTFR which covers the vast majority of the return link band is preferred for the sake of simplicity.  </w:t>
      </w:r>
    </w:p>
    <w:p w:rsidR="00835F99" w:rsidRDefault="00835F99" w:rsidP="00DB213F"/>
    <w:p w:rsidR="00835F99" w:rsidRDefault="00040487" w:rsidP="00DB213F">
      <w:r>
        <w:t xml:space="preserve">The </w:t>
      </w:r>
      <w:r w:rsidR="00B645E0">
        <w:t>value of the numerator in</w:t>
      </w:r>
      <w:r>
        <w:t xml:space="preserve"> the TTFR was chosen to be 2407 in order to match that used in the 22/26 GHz TTFR recommendation.  The corresponding denominator in the TTFR can either be 2808 or 2816.  </w:t>
      </w:r>
      <w:r w:rsidR="00B645E0">
        <w:t xml:space="preserve">The former value has the advantage that it maximizes the coherent frequency range in the return link, while the latter value would provide hardware re-use possibilities between the long-haul and proximity Ka-band radios.  </w:t>
      </w:r>
    </w:p>
    <w:p w:rsidR="00835F99" w:rsidRDefault="00835F99" w:rsidP="00DB213F"/>
    <w:p w:rsidR="00DB213F" w:rsidRDefault="00835F99" w:rsidP="00DB213F">
      <w:r>
        <w:t>Perhaps</w:t>
      </w:r>
      <w:r w:rsidR="00B645E0">
        <w:t xml:space="preserve"> the best solution would be to use the 2407/2808 turnaround ratio for ISS links, and modify Rec</w:t>
      </w:r>
      <w:r>
        <w:t>ommendation</w:t>
      </w:r>
      <w:r w:rsidR="00B645E0">
        <w:t xml:space="preserve"> 2.4.16 by replacing the 2407/2816 TTFR with 2407/2808.  This would allow for maximum coherent frequency coverage of the 27.0-27.5 GHz </w:t>
      </w:r>
      <w:r>
        <w:t xml:space="preserve">ISS </w:t>
      </w:r>
      <w:r w:rsidR="00B645E0">
        <w:t xml:space="preserve">band, while also allowing possible hardware sharing between the long-haul and proximity </w:t>
      </w:r>
      <w:r>
        <w:t xml:space="preserve">Ka-band </w:t>
      </w:r>
      <w:r w:rsidR="00B645E0">
        <w:t>radios.</w:t>
      </w:r>
    </w:p>
    <w:p w:rsidR="00DB213F" w:rsidRDefault="00DB213F" w:rsidP="00DB213F"/>
    <w:p w:rsidR="00DB213F" w:rsidRDefault="00DB213F" w:rsidP="00DB213F">
      <w:r>
        <w:t xml:space="preserve">A </w:t>
      </w:r>
      <w:r w:rsidR="00442BE5">
        <w:t xml:space="preserve">draft version of the </w:t>
      </w:r>
      <w:r w:rsidR="00E67DE2">
        <w:t xml:space="preserve">proposed </w:t>
      </w:r>
      <w:r w:rsidR="00B645E0">
        <w:t xml:space="preserve">23/27 GHz </w:t>
      </w:r>
      <w:r w:rsidR="00E67DE2">
        <w:t xml:space="preserve">turnaround ratio </w:t>
      </w:r>
      <w:r w:rsidR="00442BE5">
        <w:t xml:space="preserve">recommendation </w:t>
      </w:r>
      <w:r w:rsidR="007F51DE">
        <w:t xml:space="preserve">for intersatellite links </w:t>
      </w:r>
      <w:r w:rsidR="00442BE5">
        <w:t>is shown below.</w:t>
      </w:r>
    </w:p>
    <w:p w:rsidR="00DB213F" w:rsidRDefault="00DB213F" w:rsidP="00DB213F"/>
    <w:p w:rsidR="00515E6C" w:rsidRDefault="00515E6C" w:rsidP="00DB213F"/>
    <w:p w:rsidR="00515E6C" w:rsidRDefault="00515E6C" w:rsidP="00DB213F"/>
    <w:p w:rsidR="00D6106D" w:rsidRDefault="00D6106D" w:rsidP="00DB213F">
      <w:pPr>
        <w:rPr>
          <w:b/>
        </w:rPr>
      </w:pPr>
      <w:r w:rsidRPr="00D6106D">
        <w:rPr>
          <w:b/>
        </w:rPr>
        <w:t>References</w:t>
      </w:r>
    </w:p>
    <w:p w:rsidR="00D6106D" w:rsidRDefault="00D6106D" w:rsidP="00BC6B1B">
      <w:pPr>
        <w:spacing w:after="120"/>
        <w:ind w:left="360" w:hanging="360"/>
        <w:rPr>
          <w:b/>
        </w:rPr>
      </w:pPr>
    </w:p>
    <w:p w:rsidR="00D6106D" w:rsidRPr="00BC6B1B" w:rsidRDefault="00D6106D" w:rsidP="00BC6B1B">
      <w:pPr>
        <w:spacing w:after="120"/>
        <w:ind w:left="540" w:hanging="540"/>
      </w:pPr>
      <w:r>
        <w:t xml:space="preserve">[1]  </w:t>
      </w:r>
      <w:r w:rsidR="00BC6B1B">
        <w:tab/>
      </w:r>
      <w:r>
        <w:t>Recommendation SFCG 32-2R2, Communication Frequency Allocations and Sharing in the Lunar Region, July 8, 2019.</w:t>
      </w:r>
    </w:p>
    <w:p w:rsidR="00BC6B1B" w:rsidRDefault="00BC6B1B" w:rsidP="00BC6B1B">
      <w:pPr>
        <w:spacing w:after="120"/>
        <w:ind w:left="540" w:hanging="540"/>
        <w:rPr>
          <w:b/>
        </w:rPr>
      </w:pPr>
    </w:p>
    <w:p w:rsidR="00BC6B1B" w:rsidRPr="00BC6B1B" w:rsidRDefault="00BC6B1B" w:rsidP="00BC6B1B">
      <w:pPr>
        <w:spacing w:after="120"/>
        <w:ind w:left="540" w:hanging="540"/>
        <w:sectPr w:rsidR="00BC6B1B" w:rsidRPr="00BC6B1B" w:rsidSect="00DB213F">
          <w:headerReference w:type="default" r:id="rId8"/>
          <w:headerReference w:type="first" r:id="rId9"/>
          <w:type w:val="continuous"/>
          <w:pgSz w:w="11906" w:h="16838"/>
          <w:pgMar w:top="1440" w:right="1800" w:bottom="1440" w:left="1800" w:header="708" w:footer="708" w:gutter="0"/>
          <w:cols w:space="708"/>
          <w:docGrid w:linePitch="360"/>
        </w:sectPr>
      </w:pPr>
      <w:r>
        <w:t xml:space="preserve">[2]  </w:t>
      </w:r>
      <w:r>
        <w:tab/>
        <w:t>D. Lee, “Proposed Revision to Draft Recommendation  on 22/26 GHz Transponder Turnaround Ratios”, SLS-RFM_19-11, May 5-9, 2019.</w:t>
      </w:r>
    </w:p>
    <w:p w:rsidR="002C040F" w:rsidRDefault="00CF25C2" w:rsidP="002C040F">
      <w:pPr>
        <w:suppressAutoHyphens/>
        <w:spacing w:line="238" w:lineRule="exact"/>
        <w:ind w:left="1350" w:hanging="1350"/>
        <w:jc w:val="both"/>
        <w:rPr>
          <w:b/>
          <w:spacing w:val="-2"/>
        </w:rPr>
      </w:pPr>
      <w:r>
        <w:br w:type="page"/>
      </w:r>
      <w:r w:rsidR="002C040F">
        <w:rPr>
          <w:b/>
          <w:sz w:val="23"/>
        </w:rPr>
        <w:lastRenderedPageBreak/>
        <w:t>2.6.</w:t>
      </w:r>
      <w:r w:rsidR="00AD6950">
        <w:rPr>
          <w:b/>
          <w:sz w:val="23"/>
        </w:rPr>
        <w:t>15</w:t>
      </w:r>
      <w:r w:rsidR="002C040F">
        <w:rPr>
          <w:b/>
          <w:sz w:val="23"/>
        </w:rPr>
        <w:tab/>
        <w:t>TRANSPONDER TURNAR</w:t>
      </w:r>
      <w:r w:rsidR="00AD6950">
        <w:rPr>
          <w:b/>
          <w:sz w:val="23"/>
        </w:rPr>
        <w:t>OUND FREQUENCY RATIOS FOR THE 23.15 – 23.55 GHz AND 27.0 – 27.5</w:t>
      </w:r>
      <w:r w:rsidR="002C040F">
        <w:rPr>
          <w:b/>
          <w:sz w:val="23"/>
        </w:rPr>
        <w:t xml:space="preserve"> GHz BANDS, </w:t>
      </w:r>
      <w:r w:rsidR="00AD6950">
        <w:rPr>
          <w:b/>
          <w:sz w:val="23"/>
        </w:rPr>
        <w:t>INTERSATELLITE SERVICE</w:t>
      </w:r>
    </w:p>
    <w:p w:rsidR="002C040F" w:rsidRDefault="002C040F" w:rsidP="002C040F">
      <w:pPr>
        <w:suppressAutoHyphens/>
        <w:spacing w:line="238" w:lineRule="exact"/>
        <w:jc w:val="both"/>
        <w:rPr>
          <w:bCs/>
          <w:spacing w:val="-2"/>
        </w:rPr>
      </w:pPr>
    </w:p>
    <w:p w:rsidR="002C040F" w:rsidRDefault="002C040F" w:rsidP="002C040F">
      <w:pPr>
        <w:suppressAutoHyphens/>
        <w:spacing w:line="238" w:lineRule="exact"/>
        <w:jc w:val="both"/>
        <w:rPr>
          <w:spacing w:val="-2"/>
        </w:rPr>
      </w:pPr>
    </w:p>
    <w:p w:rsidR="002C040F" w:rsidRDefault="002C040F" w:rsidP="002C040F">
      <w:pPr>
        <w:suppressAutoHyphens/>
        <w:spacing w:line="238" w:lineRule="exact"/>
        <w:jc w:val="both"/>
        <w:rPr>
          <w:spacing w:val="-2"/>
        </w:rPr>
      </w:pPr>
      <w:r>
        <w:rPr>
          <w:b/>
          <w:spacing w:val="-2"/>
        </w:rPr>
        <w:t>The CCSDS,</w:t>
      </w:r>
    </w:p>
    <w:p w:rsidR="002C040F" w:rsidRDefault="002C040F" w:rsidP="002C040F">
      <w:pPr>
        <w:suppressAutoHyphens/>
        <w:spacing w:line="238" w:lineRule="exact"/>
        <w:jc w:val="both"/>
        <w:rPr>
          <w:spacing w:val="-2"/>
        </w:rPr>
      </w:pPr>
    </w:p>
    <w:p w:rsidR="002C040F" w:rsidRDefault="002C040F" w:rsidP="002C040F">
      <w:pPr>
        <w:suppressAutoHyphens/>
        <w:spacing w:line="238" w:lineRule="exact"/>
        <w:jc w:val="both"/>
        <w:rPr>
          <w:spacing w:val="-2"/>
        </w:rPr>
      </w:pPr>
      <w:r>
        <w:rPr>
          <w:b/>
          <w:spacing w:val="-2"/>
        </w:rPr>
        <w:t>considering</w:t>
      </w:r>
    </w:p>
    <w:p w:rsidR="002C040F" w:rsidRDefault="002C040F" w:rsidP="002C040F">
      <w:pPr>
        <w:suppressAutoHyphens/>
        <w:spacing w:line="238" w:lineRule="exact"/>
        <w:jc w:val="both"/>
        <w:rPr>
          <w:spacing w:val="-2"/>
        </w:rPr>
      </w:pPr>
    </w:p>
    <w:p w:rsidR="002C040F" w:rsidRDefault="002C040F" w:rsidP="002C040F">
      <w:pPr>
        <w:numPr>
          <w:ilvl w:val="0"/>
          <w:numId w:val="17"/>
        </w:numPr>
        <w:suppressAutoHyphens/>
        <w:spacing w:line="238" w:lineRule="exact"/>
        <w:ind w:hanging="720"/>
        <w:rPr>
          <w:spacing w:val="-2"/>
        </w:rPr>
      </w:pPr>
      <w:r>
        <w:rPr>
          <w:spacing w:val="-2"/>
        </w:rPr>
        <w:t xml:space="preserve">that </w:t>
      </w:r>
      <w:r w:rsidR="00AD6950">
        <w:rPr>
          <w:spacing w:val="-2"/>
        </w:rPr>
        <w:t>the 23.15 – 23.55 G</w:t>
      </w:r>
      <w:r>
        <w:rPr>
          <w:spacing w:val="-2"/>
        </w:rPr>
        <w:t xml:space="preserve">Hz </w:t>
      </w:r>
      <w:r w:rsidR="00AD6950">
        <w:rPr>
          <w:spacing w:val="-2"/>
        </w:rPr>
        <w:t>and 27.0 – 27.5 GHz frequency bands are allocated for use by the intersatellite service</w:t>
      </w:r>
      <w:r>
        <w:rPr>
          <w:spacing w:val="-2"/>
        </w:rPr>
        <w:t>;</w:t>
      </w:r>
    </w:p>
    <w:p w:rsidR="002C040F" w:rsidRDefault="002C040F" w:rsidP="002C040F">
      <w:pPr>
        <w:suppressAutoHyphens/>
        <w:spacing w:line="238" w:lineRule="exact"/>
        <w:ind w:left="360"/>
        <w:rPr>
          <w:spacing w:val="-2"/>
        </w:rPr>
      </w:pPr>
    </w:p>
    <w:p w:rsidR="00AD6950" w:rsidRDefault="002C040F" w:rsidP="002C040F">
      <w:pPr>
        <w:numPr>
          <w:ilvl w:val="0"/>
          <w:numId w:val="17"/>
        </w:numPr>
        <w:suppressAutoHyphens/>
        <w:spacing w:line="238" w:lineRule="exact"/>
        <w:ind w:hanging="720"/>
        <w:rPr>
          <w:spacing w:val="-2"/>
        </w:rPr>
      </w:pPr>
      <w:r>
        <w:rPr>
          <w:spacing w:val="-2"/>
        </w:rPr>
        <w:t xml:space="preserve">that </w:t>
      </w:r>
      <w:r w:rsidR="00AD6950">
        <w:rPr>
          <w:spacing w:val="-2"/>
        </w:rPr>
        <w:t>some space agencies have expressed interest in pairing forward links in the 23.15 -23.55 GHz band with return links in the 27.0 – 27.5 GHz band, particularly for proximity communications in the lunar region;</w:t>
      </w:r>
    </w:p>
    <w:p w:rsidR="00AD6950" w:rsidRDefault="00AD6950" w:rsidP="00AD6950">
      <w:pPr>
        <w:pStyle w:val="ListParagraph"/>
        <w:rPr>
          <w:spacing w:val="-2"/>
        </w:rPr>
      </w:pPr>
    </w:p>
    <w:p w:rsidR="00AD6950" w:rsidRDefault="00AD6950" w:rsidP="002C040F">
      <w:pPr>
        <w:numPr>
          <w:ilvl w:val="0"/>
          <w:numId w:val="17"/>
        </w:numPr>
        <w:suppressAutoHyphens/>
        <w:spacing w:line="238" w:lineRule="exact"/>
        <w:ind w:hanging="720"/>
        <w:rPr>
          <w:spacing w:val="-2"/>
        </w:rPr>
      </w:pPr>
      <w:r>
        <w:rPr>
          <w:spacing w:val="-2"/>
        </w:rPr>
        <w:t>that the SFCG has recommended</w:t>
      </w:r>
      <w:r w:rsidR="00D6106D">
        <w:rPr>
          <w:rStyle w:val="FootnoteReference"/>
          <w:spacing w:val="-2"/>
        </w:rPr>
        <w:footnoteReference w:id="1"/>
      </w:r>
      <w:r>
        <w:rPr>
          <w:spacing w:val="-2"/>
        </w:rPr>
        <w:t xml:space="preserve"> the use of the</w:t>
      </w:r>
      <w:r w:rsidR="00F75974">
        <w:rPr>
          <w:spacing w:val="-2"/>
        </w:rPr>
        <w:t xml:space="preserve"> 23.15 – 23.55 GHz</w:t>
      </w:r>
      <w:r>
        <w:rPr>
          <w:spacing w:val="-2"/>
        </w:rPr>
        <w:t xml:space="preserve"> </w:t>
      </w:r>
      <w:r w:rsidR="00F75974">
        <w:rPr>
          <w:spacing w:val="-2"/>
        </w:rPr>
        <w:t xml:space="preserve">and 27.0 – 27.5 GHz </w:t>
      </w:r>
      <w:r>
        <w:rPr>
          <w:spacing w:val="-2"/>
        </w:rPr>
        <w:t>bands for lunar orbit-to-surface and lunar surface-to-orbit communications, respectively;</w:t>
      </w:r>
    </w:p>
    <w:p w:rsidR="00AD6950" w:rsidRDefault="00AD6950" w:rsidP="00AD6950">
      <w:pPr>
        <w:pStyle w:val="ListParagraph"/>
        <w:rPr>
          <w:spacing w:val="-2"/>
        </w:rPr>
      </w:pPr>
    </w:p>
    <w:p w:rsidR="002C040F" w:rsidRDefault="00AD6950" w:rsidP="002C040F">
      <w:pPr>
        <w:numPr>
          <w:ilvl w:val="0"/>
          <w:numId w:val="17"/>
        </w:numPr>
        <w:suppressAutoHyphens/>
        <w:spacing w:line="238" w:lineRule="exact"/>
        <w:ind w:hanging="720"/>
        <w:rPr>
          <w:spacing w:val="-2"/>
        </w:rPr>
      </w:pPr>
      <w:r>
        <w:rPr>
          <w:spacing w:val="-2"/>
        </w:rPr>
        <w:t xml:space="preserve">that </w:t>
      </w:r>
      <w:r w:rsidR="00A44FA1">
        <w:rPr>
          <w:spacing w:val="-2"/>
        </w:rPr>
        <w:t>some</w:t>
      </w:r>
      <w:r>
        <w:rPr>
          <w:spacing w:val="-2"/>
        </w:rPr>
        <w:t xml:space="preserve"> intersatellite links </w:t>
      </w:r>
      <w:r w:rsidR="002C040F">
        <w:rPr>
          <w:spacing w:val="-2"/>
        </w:rPr>
        <w:t xml:space="preserve">may require coherency between </w:t>
      </w:r>
      <w:r>
        <w:rPr>
          <w:spacing w:val="-2"/>
        </w:rPr>
        <w:t>the forward and return frequencies</w:t>
      </w:r>
      <w:r w:rsidR="002C040F">
        <w:rPr>
          <w:spacing w:val="-2"/>
        </w:rPr>
        <w:t xml:space="preserve"> for </w:t>
      </w:r>
      <w:r>
        <w:rPr>
          <w:spacing w:val="-2"/>
        </w:rPr>
        <w:t>r</w:t>
      </w:r>
      <w:r w:rsidR="002C040F">
        <w:rPr>
          <w:spacing w:val="-2"/>
        </w:rPr>
        <w:t>anging and Doppler</w:t>
      </w:r>
      <w:r>
        <w:rPr>
          <w:spacing w:val="-2"/>
        </w:rPr>
        <w:t xml:space="preserve"> measurements</w:t>
      </w:r>
      <w:r w:rsidR="002C040F">
        <w:rPr>
          <w:spacing w:val="-2"/>
        </w:rPr>
        <w:t>;</w:t>
      </w:r>
    </w:p>
    <w:p w:rsidR="002C040F" w:rsidRDefault="002C040F" w:rsidP="002C040F">
      <w:pPr>
        <w:suppressAutoHyphens/>
        <w:spacing w:line="238" w:lineRule="exact"/>
        <w:rPr>
          <w:spacing w:val="-2"/>
        </w:rPr>
      </w:pPr>
    </w:p>
    <w:p w:rsidR="002C040F" w:rsidRDefault="002C040F" w:rsidP="002C040F">
      <w:pPr>
        <w:numPr>
          <w:ilvl w:val="0"/>
          <w:numId w:val="17"/>
        </w:numPr>
        <w:suppressAutoHyphens/>
        <w:spacing w:line="238" w:lineRule="exact"/>
        <w:ind w:hanging="720"/>
        <w:rPr>
          <w:spacing w:val="-2"/>
        </w:rPr>
      </w:pPr>
      <w:r>
        <w:rPr>
          <w:spacing w:val="-2"/>
        </w:rPr>
        <w:t>that for space missions which require coherency, Transponder Turnaround Frequency Ratios (TTFRs) must be defined;</w:t>
      </w:r>
    </w:p>
    <w:p w:rsidR="002C040F" w:rsidRDefault="002C040F" w:rsidP="002C040F">
      <w:pPr>
        <w:suppressAutoHyphens/>
        <w:spacing w:line="238" w:lineRule="exact"/>
        <w:rPr>
          <w:spacing w:val="-2"/>
        </w:rPr>
      </w:pPr>
    </w:p>
    <w:p w:rsidR="002C040F" w:rsidRDefault="002C040F" w:rsidP="002C040F">
      <w:pPr>
        <w:numPr>
          <w:ilvl w:val="0"/>
          <w:numId w:val="17"/>
        </w:numPr>
        <w:suppressAutoHyphens/>
        <w:spacing w:line="238" w:lineRule="exact"/>
        <w:ind w:hanging="720"/>
        <w:rPr>
          <w:spacing w:val="-2"/>
        </w:rPr>
      </w:pPr>
      <w:r>
        <w:rPr>
          <w:spacing w:val="-2"/>
        </w:rPr>
        <w:t>th</w:t>
      </w:r>
      <w:r w:rsidR="00F75974">
        <w:rPr>
          <w:spacing w:val="-2"/>
        </w:rPr>
        <w:t>at for forward links in the 23.15 – 23.55 GHz band</w:t>
      </w:r>
      <w:r>
        <w:rPr>
          <w:spacing w:val="-2"/>
        </w:rPr>
        <w:t xml:space="preserve">, a </w:t>
      </w:r>
      <w:r w:rsidR="00A44FA1">
        <w:rPr>
          <w:spacing w:val="-2"/>
        </w:rPr>
        <w:t>single TTFR can cover more than 93% of the  frequency range in the 27.0 – 27.5</w:t>
      </w:r>
      <w:r>
        <w:rPr>
          <w:spacing w:val="-2"/>
        </w:rPr>
        <w:t xml:space="preserve"> GHz band;</w:t>
      </w:r>
    </w:p>
    <w:p w:rsidR="002C040F" w:rsidRDefault="002C040F" w:rsidP="002C040F">
      <w:pPr>
        <w:suppressAutoHyphens/>
        <w:spacing w:line="238" w:lineRule="exact"/>
        <w:rPr>
          <w:spacing w:val="-2"/>
        </w:rPr>
      </w:pPr>
    </w:p>
    <w:p w:rsidR="002C040F" w:rsidRDefault="002C040F" w:rsidP="002C040F">
      <w:pPr>
        <w:suppressAutoHyphens/>
        <w:spacing w:line="238" w:lineRule="exact"/>
        <w:ind w:left="720" w:hanging="720"/>
        <w:rPr>
          <w:spacing w:val="-2"/>
        </w:rPr>
      </w:pPr>
      <w:r>
        <w:rPr>
          <w:spacing w:val="-2"/>
        </w:rPr>
        <w:t>(g)</w:t>
      </w:r>
      <w:r w:rsidR="00A44FA1">
        <w:rPr>
          <w:spacing w:val="-2"/>
        </w:rPr>
        <w:tab/>
        <w:t>that for reasons of simplicity</w:t>
      </w:r>
      <w:r w:rsidR="00F75974">
        <w:rPr>
          <w:spacing w:val="-2"/>
        </w:rPr>
        <w:t xml:space="preserve"> and cross-support</w:t>
      </w:r>
      <w:r>
        <w:rPr>
          <w:spacing w:val="-2"/>
        </w:rPr>
        <w:t xml:space="preserve">, </w:t>
      </w:r>
      <w:r w:rsidR="00A44FA1">
        <w:rPr>
          <w:spacing w:val="-2"/>
        </w:rPr>
        <w:t>a single turnaround ratio is</w:t>
      </w:r>
      <w:r>
        <w:rPr>
          <w:spacing w:val="-2"/>
        </w:rPr>
        <w:t xml:space="preserve"> preferable;</w:t>
      </w:r>
    </w:p>
    <w:p w:rsidR="002C040F" w:rsidRDefault="002C040F" w:rsidP="002C040F">
      <w:pPr>
        <w:suppressAutoHyphens/>
        <w:spacing w:line="238" w:lineRule="exact"/>
        <w:jc w:val="both"/>
        <w:rPr>
          <w:spacing w:val="-2"/>
        </w:rPr>
      </w:pPr>
    </w:p>
    <w:p w:rsidR="002C040F" w:rsidRDefault="002C040F" w:rsidP="002C040F">
      <w:pPr>
        <w:suppressAutoHyphens/>
        <w:spacing w:line="238" w:lineRule="exact"/>
        <w:jc w:val="both"/>
        <w:rPr>
          <w:spacing w:val="-2"/>
        </w:rPr>
      </w:pPr>
      <w:r>
        <w:rPr>
          <w:b/>
          <w:spacing w:val="-2"/>
        </w:rPr>
        <w:t>recommends</w:t>
      </w:r>
    </w:p>
    <w:p w:rsidR="002C040F" w:rsidRDefault="002C040F" w:rsidP="002C040F">
      <w:pPr>
        <w:suppressAutoHyphens/>
        <w:spacing w:line="238" w:lineRule="exact"/>
        <w:ind w:left="720" w:hanging="720"/>
        <w:jc w:val="both"/>
        <w:rPr>
          <w:spacing w:val="-2"/>
        </w:rPr>
      </w:pPr>
    </w:p>
    <w:p w:rsidR="002C040F" w:rsidRDefault="002C040F" w:rsidP="00A44FA1">
      <w:pPr>
        <w:suppressAutoHyphens/>
        <w:spacing w:line="238" w:lineRule="exact"/>
        <w:ind w:left="720"/>
        <w:jc w:val="both"/>
        <w:rPr>
          <w:spacing w:val="-2"/>
        </w:rPr>
      </w:pPr>
      <w:r>
        <w:rPr>
          <w:spacing w:val="-2"/>
        </w:rPr>
        <w:t xml:space="preserve">that CCSDS agencies use </w:t>
      </w:r>
      <w:r w:rsidR="00F75974">
        <w:rPr>
          <w:spacing w:val="-2"/>
        </w:rPr>
        <w:t xml:space="preserve">the </w:t>
      </w:r>
      <w:bookmarkStart w:id="1" w:name="_GoBack"/>
      <w:bookmarkEnd w:id="1"/>
      <w:r w:rsidR="00A44FA1">
        <w:rPr>
          <w:spacing w:val="-2"/>
        </w:rPr>
        <w:t xml:space="preserve">2407/2808 </w:t>
      </w:r>
      <w:r w:rsidR="00FE36CE">
        <w:rPr>
          <w:spacing w:val="-2"/>
        </w:rPr>
        <w:t xml:space="preserve">turnaround ratio </w:t>
      </w:r>
      <w:r>
        <w:rPr>
          <w:spacing w:val="-2"/>
        </w:rPr>
        <w:t xml:space="preserve">for </w:t>
      </w:r>
      <w:r w:rsidR="00A44FA1">
        <w:rPr>
          <w:spacing w:val="-2"/>
        </w:rPr>
        <w:t>intersatellite links requiring frequency coherency between forward</w:t>
      </w:r>
      <w:r w:rsidR="00CC6B24">
        <w:rPr>
          <w:spacing w:val="-2"/>
        </w:rPr>
        <w:t xml:space="preserve"> links</w:t>
      </w:r>
      <w:r w:rsidR="00A44FA1">
        <w:rPr>
          <w:spacing w:val="-2"/>
        </w:rPr>
        <w:t xml:space="preserve"> in the 23.15 – 23.55 G</w:t>
      </w:r>
      <w:r>
        <w:rPr>
          <w:spacing w:val="-2"/>
        </w:rPr>
        <w:t xml:space="preserve">Hz </w:t>
      </w:r>
      <w:r w:rsidR="00A44FA1">
        <w:rPr>
          <w:spacing w:val="-2"/>
        </w:rPr>
        <w:t xml:space="preserve">band </w:t>
      </w:r>
      <w:r>
        <w:rPr>
          <w:spacing w:val="-2"/>
        </w:rPr>
        <w:t xml:space="preserve">and </w:t>
      </w:r>
      <w:r w:rsidR="00A44FA1">
        <w:rPr>
          <w:spacing w:val="-2"/>
        </w:rPr>
        <w:t>return links in the 27.0 – 27.5 GHz band</w:t>
      </w:r>
      <w:r w:rsidR="00FE36CE">
        <w:rPr>
          <w:rStyle w:val="FootnoteReference"/>
          <w:spacing w:val="-2"/>
        </w:rPr>
        <w:footnoteReference w:id="2"/>
      </w:r>
    </w:p>
    <w:p w:rsidR="002C040F" w:rsidRDefault="002C040F" w:rsidP="002C040F">
      <w:pPr>
        <w:suppressAutoHyphens/>
        <w:spacing w:line="238" w:lineRule="exact"/>
        <w:jc w:val="both"/>
        <w:rPr>
          <w:spacing w:val="-2"/>
        </w:rPr>
      </w:pPr>
    </w:p>
    <w:bookmarkEnd w:id="0"/>
    <w:p w:rsidR="002C040F" w:rsidRDefault="002C040F" w:rsidP="002C040F">
      <w:pPr>
        <w:suppressAutoHyphens/>
        <w:spacing w:line="238" w:lineRule="exact"/>
        <w:jc w:val="both"/>
        <w:rPr>
          <w:spacing w:val="-2"/>
        </w:rPr>
      </w:pPr>
    </w:p>
    <w:sectPr w:rsidR="002C040F" w:rsidSect="009C6CBA">
      <w:headerReference w:type="default" r:id="rId10"/>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D18" w:rsidRDefault="00AA0D18">
      <w:r>
        <w:separator/>
      </w:r>
    </w:p>
  </w:endnote>
  <w:endnote w:type="continuationSeparator" w:id="0">
    <w:p w:rsidR="00AA0D18" w:rsidRDefault="00AA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D18" w:rsidRDefault="00AA0D18">
      <w:r>
        <w:separator/>
      </w:r>
    </w:p>
  </w:footnote>
  <w:footnote w:type="continuationSeparator" w:id="0">
    <w:p w:rsidR="00AA0D18" w:rsidRDefault="00AA0D18">
      <w:r>
        <w:continuationSeparator/>
      </w:r>
    </w:p>
  </w:footnote>
  <w:footnote w:id="1">
    <w:p w:rsidR="00D6106D" w:rsidRPr="00D6106D" w:rsidRDefault="00D6106D">
      <w:pPr>
        <w:pStyle w:val="FootnoteText"/>
        <w:rPr>
          <w:lang w:val="en-US"/>
        </w:rPr>
      </w:pPr>
      <w:r>
        <w:rPr>
          <w:rStyle w:val="FootnoteReference"/>
        </w:rPr>
        <w:footnoteRef/>
      </w:r>
      <w:r>
        <w:t xml:space="preserve"> </w:t>
      </w:r>
      <w:r>
        <w:rPr>
          <w:lang w:val="en-US"/>
        </w:rPr>
        <w:t xml:space="preserve">Recommendation SFCG </w:t>
      </w:r>
      <w:r w:rsidR="00DE0528">
        <w:rPr>
          <w:lang w:val="en-US"/>
        </w:rPr>
        <w:t>32-2</w:t>
      </w:r>
    </w:p>
  </w:footnote>
  <w:footnote w:id="2">
    <w:p w:rsidR="00FE36CE" w:rsidRPr="00FE36CE" w:rsidRDefault="00FE36CE" w:rsidP="00FE36CE">
      <w:pPr>
        <w:pStyle w:val="FootnoteText"/>
        <w:rPr>
          <w:lang w:val="en-US"/>
        </w:rPr>
      </w:pPr>
      <w:r>
        <w:rPr>
          <w:rStyle w:val="FootnoteReference"/>
        </w:rPr>
        <w:footnoteRef/>
      </w:r>
      <w:r>
        <w:t xml:space="preserve"> </w:t>
      </w:r>
      <w:r>
        <w:rPr>
          <w:lang w:val="en-US"/>
        </w:rPr>
        <w:t>The 2407/2808 TTFR provides frequency coherency for return link frequencies between 27006.730 MHz and</w:t>
      </w:r>
      <w:r w:rsidRPr="00FE36CE">
        <w:rPr>
          <w:lang w:val="en-US"/>
        </w:rPr>
        <w:t xml:space="preserve"> 27473.369</w:t>
      </w:r>
      <w:r>
        <w:rPr>
          <w:lang w:val="en-US"/>
        </w:rPr>
        <w:t xml:space="preserve"> MHz.</w:t>
      </w:r>
    </w:p>
    <w:p w:rsidR="00FE36CE" w:rsidRPr="00C92F28" w:rsidRDefault="00FE36CE" w:rsidP="00FE36CE">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13F" w:rsidRPr="00C46B16" w:rsidRDefault="00DB213F" w:rsidP="00740B05">
    <w:pPr>
      <w:pStyle w:val="Header"/>
      <w:rPr>
        <w:b/>
      </w:rPr>
    </w:pPr>
    <w:r w:rsidRPr="00C46B16">
      <w:rPr>
        <w:b/>
      </w:rPr>
      <w:t>CCSDS RF&amp;Modulation</w:t>
    </w:r>
    <w:r w:rsidRPr="00C46B16">
      <w:rPr>
        <w:b/>
      </w:rPr>
      <w:tab/>
    </w:r>
    <w:r w:rsidRPr="00C46B16">
      <w:rPr>
        <w:b/>
      </w:rPr>
      <w:tab/>
    </w:r>
    <w:r w:rsidR="00991500">
      <w:rPr>
        <w:b/>
      </w:rPr>
      <w:t>October 21 - 24</w:t>
    </w:r>
    <w:r>
      <w:rPr>
        <w:b/>
      </w:rPr>
      <w:t>, 2019</w:t>
    </w:r>
  </w:p>
  <w:p w:rsidR="00DB213F" w:rsidRPr="00740B05" w:rsidRDefault="00991500" w:rsidP="00740B05">
    <w:pPr>
      <w:pStyle w:val="Header"/>
      <w:rPr>
        <w:b/>
      </w:rPr>
    </w:pPr>
    <w:r>
      <w:rPr>
        <w:b/>
      </w:rPr>
      <w:t>D</w:t>
    </w:r>
    <w:r w:rsidR="00FD0DFB">
      <w:rPr>
        <w:b/>
      </w:rPr>
      <w:t>armstadt, Germany</w:t>
    </w:r>
    <w:r w:rsidR="00FD0DFB">
      <w:rPr>
        <w:b/>
      </w:rPr>
      <w:tab/>
    </w:r>
    <w:r w:rsidR="00FD0DFB">
      <w:rPr>
        <w:b/>
      </w:rPr>
      <w:tab/>
      <w:t>SLS-RFM_19-14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13F" w:rsidRDefault="00DB213F">
    <w:pPr>
      <w:pStyle w:val="Header"/>
      <w:tabs>
        <w:tab w:val="clear" w:pos="8306"/>
        <w:tab w:val="right" w:pos="9540"/>
      </w:tabs>
    </w:pPr>
    <w:r>
      <w:t>CCSDS RFM Working Group Meeting</w:t>
    </w:r>
    <w:r>
      <w:tab/>
    </w:r>
    <w:r>
      <w:tab/>
      <w:t>October 15-19, 2018</w:t>
    </w:r>
  </w:p>
  <w:p w:rsidR="00DB213F" w:rsidRDefault="00DB213F">
    <w:pPr>
      <w:pStyle w:val="Header"/>
      <w:tabs>
        <w:tab w:val="clear" w:pos="8306"/>
        <w:tab w:val="right" w:pos="9540"/>
      </w:tabs>
    </w:pPr>
    <w:r>
      <w:t>Berlin, Germany</w:t>
    </w:r>
    <w:r>
      <w:tab/>
    </w:r>
    <w:r>
      <w:tab/>
      <w:t>SLS-RFM_18-15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B05" w:rsidRPr="00740B05" w:rsidRDefault="00740B05" w:rsidP="00740B05">
    <w:pPr>
      <w:pStyle w:val="Header"/>
      <w:tabs>
        <w:tab w:val="clear" w:pos="4153"/>
        <w:tab w:val="clear" w:pos="8306"/>
        <w:tab w:val="left" w:pos="744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62C1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F25A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2D83AA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869B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9C8576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14054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B40E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A682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12B9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5484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B579F"/>
    <w:multiLevelType w:val="hybridMultilevel"/>
    <w:tmpl w:val="FE3035B8"/>
    <w:lvl w:ilvl="0" w:tplc="0DE09A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2C4378"/>
    <w:multiLevelType w:val="multilevel"/>
    <w:tmpl w:val="1F0A1C56"/>
    <w:lvl w:ilvl="0">
      <w:start w:val="2"/>
      <w:numFmt w:val="decimal"/>
      <w:lvlText w:val="%1"/>
      <w:lvlJc w:val="left"/>
      <w:pPr>
        <w:tabs>
          <w:tab w:val="num" w:pos="1440"/>
        </w:tabs>
        <w:ind w:left="1440" w:hanging="1440"/>
      </w:pPr>
      <w:rPr>
        <w:rFonts w:hint="default"/>
      </w:rPr>
    </w:lvl>
    <w:lvl w:ilvl="1">
      <w:start w:val="4"/>
      <w:numFmt w:val="decimal"/>
      <w:lvlText w:val="%1.%2"/>
      <w:lvlJc w:val="left"/>
      <w:pPr>
        <w:tabs>
          <w:tab w:val="num" w:pos="1440"/>
        </w:tabs>
        <w:ind w:left="1440" w:hanging="1440"/>
      </w:pPr>
      <w:rPr>
        <w:rFonts w:hint="default"/>
      </w:rPr>
    </w:lvl>
    <w:lvl w:ilvl="2">
      <w:start w:val="6"/>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0682911"/>
    <w:multiLevelType w:val="hybridMultilevel"/>
    <w:tmpl w:val="F7C4AE06"/>
    <w:lvl w:ilvl="0" w:tplc="07FA84A6">
      <w:start w:val="1"/>
      <w:numFmt w:val="decimal"/>
      <w:pStyle w:val="Heading5"/>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857AB8"/>
    <w:multiLevelType w:val="multilevel"/>
    <w:tmpl w:val="A3767DDA"/>
    <w:name w:val="HeadingNumbers"/>
    <w:lvl w:ilvl="0">
      <w:start w:val="1"/>
      <w:numFmt w:val="decimal"/>
      <w:lvlText w:val="%1"/>
      <w:lvlJc w:val="left"/>
      <w:pPr>
        <w:tabs>
          <w:tab w:val="num" w:pos="432"/>
        </w:tabs>
        <w:ind w:left="0" w:firstLine="0"/>
      </w:pPr>
      <w:rPr>
        <w:rFonts w:ascii="Times New Roman" w:hAnsi="Times New Roman"/>
        <w:b/>
        <w:i w:val="0"/>
        <w:sz w:val="28"/>
      </w:rPr>
    </w:lvl>
    <w:lvl w:ilvl="1">
      <w:start w:val="1"/>
      <w:numFmt w:val="decimal"/>
      <w:lvlText w:val="%1.%2"/>
      <w:lvlJc w:val="left"/>
      <w:pPr>
        <w:tabs>
          <w:tab w:val="num" w:pos="576"/>
        </w:tabs>
        <w:ind w:left="0" w:firstLine="0"/>
      </w:pPr>
      <w:rPr>
        <w:rFonts w:ascii="Times New Roman" w:hAnsi="Times New Roman"/>
        <w:b/>
        <w:i w:val="0"/>
        <w:sz w:val="24"/>
      </w:rPr>
    </w:lvl>
    <w:lvl w:ilvl="2">
      <w:start w:val="1"/>
      <w:numFmt w:val="decimal"/>
      <w:lvlText w:val="%1.%2.%3"/>
      <w:lvlJc w:val="left"/>
      <w:pPr>
        <w:tabs>
          <w:tab w:val="num" w:pos="720"/>
        </w:tabs>
        <w:ind w:left="0" w:firstLine="0"/>
      </w:pPr>
      <w:rPr>
        <w:rFonts w:ascii="Times New Roman" w:hAnsi="Times New Roman"/>
        <w:b/>
        <w:i w:val="0"/>
        <w:sz w:val="24"/>
      </w:rPr>
    </w:lvl>
    <w:lvl w:ilvl="3">
      <w:start w:val="1"/>
      <w:numFmt w:val="decimal"/>
      <w:lvlText w:val="%1.%2.%3.%4"/>
      <w:lvlJc w:val="left"/>
      <w:pPr>
        <w:tabs>
          <w:tab w:val="num" w:pos="907"/>
        </w:tabs>
        <w:ind w:left="0" w:firstLine="0"/>
      </w:pPr>
      <w:rPr>
        <w:rFonts w:ascii="Times New Roman" w:hAnsi="Times New Roman"/>
        <w:b/>
        <w:i w:val="0"/>
        <w:sz w:val="24"/>
      </w:rPr>
    </w:lvl>
    <w:lvl w:ilvl="4">
      <w:start w:val="1"/>
      <w:numFmt w:val="decimal"/>
      <w:lvlText w:val="%1.%2.%3.%4.%5"/>
      <w:lvlJc w:val="left"/>
      <w:pPr>
        <w:tabs>
          <w:tab w:val="num" w:pos="1080"/>
        </w:tabs>
        <w:ind w:left="0" w:firstLine="0"/>
      </w:pPr>
      <w:rPr>
        <w:rFonts w:ascii="Times New Roman" w:hAnsi="Times New Roman"/>
        <w:b/>
        <w:i w:val="0"/>
        <w:sz w:val="24"/>
      </w:rPr>
    </w:lvl>
    <w:lvl w:ilvl="5">
      <w:start w:val="1"/>
      <w:numFmt w:val="decimal"/>
      <w:lvlText w:val="%1.%2.%3.%4.%5.%6"/>
      <w:lvlJc w:val="left"/>
      <w:pPr>
        <w:tabs>
          <w:tab w:val="num" w:pos="1267"/>
        </w:tabs>
        <w:ind w:left="0" w:firstLine="0"/>
      </w:pPr>
      <w:rPr>
        <w:rFonts w:ascii="Times New Roman" w:hAnsi="Times New Roman"/>
        <w:b/>
        <w:i w:val="0"/>
        <w:sz w:val="24"/>
      </w:rPr>
    </w:lvl>
    <w:lvl w:ilvl="6">
      <w:start w:val="1"/>
      <w:numFmt w:val="decimal"/>
      <w:lvlText w:val="%1.%2.%3.%4.%5.%6.%7"/>
      <w:lvlJc w:val="left"/>
      <w:pPr>
        <w:tabs>
          <w:tab w:val="num" w:pos="1440"/>
        </w:tabs>
        <w:ind w:left="0" w:firstLine="0"/>
      </w:pPr>
      <w:rPr>
        <w:rFonts w:ascii="Times New Roman" w:hAnsi="Times New Roman"/>
        <w:b/>
        <w:i w:val="0"/>
        <w:sz w:val="24"/>
      </w:rPr>
    </w:lvl>
    <w:lvl w:ilvl="7">
      <w:start w:val="1"/>
      <w:numFmt w:val="upperLetter"/>
      <w:suff w:val="nothing"/>
      <w:lvlText w:val="ANNEX %8"/>
      <w:lvlJc w:val="left"/>
      <w:pPr>
        <w:tabs>
          <w:tab w:val="num" w:pos="1440"/>
        </w:tabs>
        <w:ind w:left="0" w:firstLine="0"/>
      </w:pPr>
      <w:rPr>
        <w:rFonts w:ascii="Times New Roman" w:hAnsi="Times New Roman"/>
        <w:b/>
        <w:i w:val="0"/>
        <w:sz w:val="28"/>
      </w:rPr>
    </w:lvl>
    <w:lvl w:ilvl="8">
      <w:start w:val="9"/>
      <w:numFmt w:val="upperLetter"/>
      <w:suff w:val="nothing"/>
      <w:lvlText w:val="%9NDEX"/>
      <w:lvlJc w:val="center"/>
      <w:pPr>
        <w:tabs>
          <w:tab w:val="num" w:pos="1584"/>
        </w:tabs>
        <w:ind w:left="0" w:firstLine="0"/>
      </w:pPr>
      <w:rPr>
        <w:rFonts w:ascii="Times New Roman" w:hAnsi="Times New Roman"/>
        <w:b/>
        <w:i w:val="0"/>
        <w:sz w:val="28"/>
      </w:rPr>
    </w:lvl>
  </w:abstractNum>
  <w:abstractNum w:abstractNumId="14" w15:restartNumberingAfterBreak="0">
    <w:nsid w:val="187151EF"/>
    <w:multiLevelType w:val="hybridMultilevel"/>
    <w:tmpl w:val="27E04884"/>
    <w:lvl w:ilvl="0" w:tplc="0DE09A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9C1DC5"/>
    <w:multiLevelType w:val="hybridMultilevel"/>
    <w:tmpl w:val="ABFA4B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E670673"/>
    <w:multiLevelType w:val="hybridMultilevel"/>
    <w:tmpl w:val="0F1E70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AE735C"/>
    <w:multiLevelType w:val="hybridMultilevel"/>
    <w:tmpl w:val="DB446BCA"/>
    <w:lvl w:ilvl="0" w:tplc="86DAC61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1881DDA"/>
    <w:multiLevelType w:val="hybridMultilevel"/>
    <w:tmpl w:val="E010553E"/>
    <w:lvl w:ilvl="0" w:tplc="0DE09A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5A2BC7"/>
    <w:multiLevelType w:val="hybridMultilevel"/>
    <w:tmpl w:val="481CE3E8"/>
    <w:lvl w:ilvl="0" w:tplc="EEE8FC8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F184025"/>
    <w:multiLevelType w:val="hybridMultilevel"/>
    <w:tmpl w:val="93CC709A"/>
    <w:lvl w:ilvl="0" w:tplc="00809EB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3858FF"/>
    <w:multiLevelType w:val="hybridMultilevel"/>
    <w:tmpl w:val="D2660D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CF4A85"/>
    <w:multiLevelType w:val="hybridMultilevel"/>
    <w:tmpl w:val="002AC5F2"/>
    <w:lvl w:ilvl="0" w:tplc="EEE8FC8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010142"/>
    <w:multiLevelType w:val="hybridMultilevel"/>
    <w:tmpl w:val="40B600AC"/>
    <w:lvl w:ilvl="0" w:tplc="E8BE44DC">
      <w:start w:val="1"/>
      <w:numFmt w:val="upperRoman"/>
      <w:lvlText w:val="%1."/>
      <w:lvlJc w:val="left"/>
      <w:pPr>
        <w:tabs>
          <w:tab w:val="num" w:pos="720"/>
        </w:tabs>
        <w:ind w:left="720" w:hanging="720"/>
      </w:pPr>
      <w:rPr>
        <w:rFonts w:hint="default"/>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6547F08"/>
    <w:multiLevelType w:val="hybridMultilevel"/>
    <w:tmpl w:val="77DA4232"/>
    <w:lvl w:ilvl="0" w:tplc="00809E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18"/>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1"/>
  </w:num>
  <w:num w:numId="17">
    <w:abstractNumId w:val="22"/>
  </w:num>
  <w:num w:numId="18">
    <w:abstractNumId w:val="17"/>
  </w:num>
  <w:num w:numId="19">
    <w:abstractNumId w:val="20"/>
  </w:num>
  <w:num w:numId="20">
    <w:abstractNumId w:val="12"/>
  </w:num>
  <w:num w:numId="21">
    <w:abstractNumId w:val="12"/>
  </w:num>
  <w:num w:numId="22">
    <w:abstractNumId w:val="21"/>
  </w:num>
  <w:num w:numId="23">
    <w:abstractNumId w:val="16"/>
  </w:num>
  <w:num w:numId="24">
    <w:abstractNumId w:val="19"/>
  </w:num>
  <w:num w:numId="25">
    <w:abstractNumId w:val="2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5E7"/>
    <w:rsid w:val="00020D93"/>
    <w:rsid w:val="00040487"/>
    <w:rsid w:val="0004387E"/>
    <w:rsid w:val="00050C3A"/>
    <w:rsid w:val="00053D7B"/>
    <w:rsid w:val="00081795"/>
    <w:rsid w:val="000824B2"/>
    <w:rsid w:val="000A370C"/>
    <w:rsid w:val="000C73F8"/>
    <w:rsid w:val="000E3368"/>
    <w:rsid w:val="0010045C"/>
    <w:rsid w:val="00123633"/>
    <w:rsid w:val="001655EC"/>
    <w:rsid w:val="00167875"/>
    <w:rsid w:val="001751FB"/>
    <w:rsid w:val="0018043B"/>
    <w:rsid w:val="0018591D"/>
    <w:rsid w:val="001A5987"/>
    <w:rsid w:val="001E7A63"/>
    <w:rsid w:val="001E7D24"/>
    <w:rsid w:val="001F0910"/>
    <w:rsid w:val="00204EBD"/>
    <w:rsid w:val="00205226"/>
    <w:rsid w:val="00207E7E"/>
    <w:rsid w:val="00210473"/>
    <w:rsid w:val="002228C6"/>
    <w:rsid w:val="00241553"/>
    <w:rsid w:val="002558B8"/>
    <w:rsid w:val="00273AE4"/>
    <w:rsid w:val="00284325"/>
    <w:rsid w:val="0028733A"/>
    <w:rsid w:val="002A5452"/>
    <w:rsid w:val="002C040F"/>
    <w:rsid w:val="002D65E7"/>
    <w:rsid w:val="002E076F"/>
    <w:rsid w:val="002E4E44"/>
    <w:rsid w:val="002F2B95"/>
    <w:rsid w:val="002F45C1"/>
    <w:rsid w:val="00301136"/>
    <w:rsid w:val="00303C86"/>
    <w:rsid w:val="0031000B"/>
    <w:rsid w:val="00323F92"/>
    <w:rsid w:val="00350B41"/>
    <w:rsid w:val="00352B59"/>
    <w:rsid w:val="0035399D"/>
    <w:rsid w:val="00383F5A"/>
    <w:rsid w:val="003A732E"/>
    <w:rsid w:val="003D5DE7"/>
    <w:rsid w:val="003E1483"/>
    <w:rsid w:val="003F2712"/>
    <w:rsid w:val="00420126"/>
    <w:rsid w:val="00425131"/>
    <w:rsid w:val="00427040"/>
    <w:rsid w:val="00436289"/>
    <w:rsid w:val="00442BE5"/>
    <w:rsid w:val="004765D2"/>
    <w:rsid w:val="00476E4A"/>
    <w:rsid w:val="004773EF"/>
    <w:rsid w:val="004C04F3"/>
    <w:rsid w:val="004C42CA"/>
    <w:rsid w:val="004C460A"/>
    <w:rsid w:val="004E65CD"/>
    <w:rsid w:val="004E702F"/>
    <w:rsid w:val="004E7F1E"/>
    <w:rsid w:val="00515E6C"/>
    <w:rsid w:val="00586F9D"/>
    <w:rsid w:val="00587B10"/>
    <w:rsid w:val="005B2187"/>
    <w:rsid w:val="005D75B9"/>
    <w:rsid w:val="00620C40"/>
    <w:rsid w:val="00631234"/>
    <w:rsid w:val="00632A3F"/>
    <w:rsid w:val="00636840"/>
    <w:rsid w:val="006377EE"/>
    <w:rsid w:val="00647634"/>
    <w:rsid w:val="0066257D"/>
    <w:rsid w:val="006A2497"/>
    <w:rsid w:val="006D4592"/>
    <w:rsid w:val="006F2E6D"/>
    <w:rsid w:val="006F3B02"/>
    <w:rsid w:val="00740B05"/>
    <w:rsid w:val="007467C6"/>
    <w:rsid w:val="007560ED"/>
    <w:rsid w:val="0075793F"/>
    <w:rsid w:val="00764DD6"/>
    <w:rsid w:val="007708D2"/>
    <w:rsid w:val="00784324"/>
    <w:rsid w:val="007B0A1C"/>
    <w:rsid w:val="007C00AA"/>
    <w:rsid w:val="007F51DE"/>
    <w:rsid w:val="00807C28"/>
    <w:rsid w:val="00810A32"/>
    <w:rsid w:val="00814542"/>
    <w:rsid w:val="00816296"/>
    <w:rsid w:val="0083325A"/>
    <w:rsid w:val="00835F99"/>
    <w:rsid w:val="008422FD"/>
    <w:rsid w:val="008472E2"/>
    <w:rsid w:val="00867CA4"/>
    <w:rsid w:val="008702A0"/>
    <w:rsid w:val="00891A99"/>
    <w:rsid w:val="008C673D"/>
    <w:rsid w:val="008D13AD"/>
    <w:rsid w:val="008F55E7"/>
    <w:rsid w:val="00910C6F"/>
    <w:rsid w:val="00925E09"/>
    <w:rsid w:val="00935FB0"/>
    <w:rsid w:val="009367E9"/>
    <w:rsid w:val="00946014"/>
    <w:rsid w:val="00954DB0"/>
    <w:rsid w:val="00966FD1"/>
    <w:rsid w:val="00976FF6"/>
    <w:rsid w:val="00991500"/>
    <w:rsid w:val="009946A4"/>
    <w:rsid w:val="009A2ED6"/>
    <w:rsid w:val="009A758E"/>
    <w:rsid w:val="009C642A"/>
    <w:rsid w:val="009C6CBA"/>
    <w:rsid w:val="00A0103A"/>
    <w:rsid w:val="00A23AF6"/>
    <w:rsid w:val="00A33D97"/>
    <w:rsid w:val="00A44FA1"/>
    <w:rsid w:val="00A87736"/>
    <w:rsid w:val="00A94B38"/>
    <w:rsid w:val="00AA01EE"/>
    <w:rsid w:val="00AA0D18"/>
    <w:rsid w:val="00AA7DDC"/>
    <w:rsid w:val="00AD067A"/>
    <w:rsid w:val="00AD6950"/>
    <w:rsid w:val="00AE2D39"/>
    <w:rsid w:val="00AE7AB3"/>
    <w:rsid w:val="00B03989"/>
    <w:rsid w:val="00B311DF"/>
    <w:rsid w:val="00B361AC"/>
    <w:rsid w:val="00B645E0"/>
    <w:rsid w:val="00B75184"/>
    <w:rsid w:val="00B91A59"/>
    <w:rsid w:val="00B9431A"/>
    <w:rsid w:val="00BB4161"/>
    <w:rsid w:val="00BC6B1B"/>
    <w:rsid w:val="00C10D5D"/>
    <w:rsid w:val="00C151FD"/>
    <w:rsid w:val="00C46B16"/>
    <w:rsid w:val="00C6562C"/>
    <w:rsid w:val="00C82798"/>
    <w:rsid w:val="00C8720E"/>
    <w:rsid w:val="00C873EE"/>
    <w:rsid w:val="00C9042A"/>
    <w:rsid w:val="00C92F28"/>
    <w:rsid w:val="00CB37A1"/>
    <w:rsid w:val="00CB5E45"/>
    <w:rsid w:val="00CB74E1"/>
    <w:rsid w:val="00CC6B24"/>
    <w:rsid w:val="00CE4ACB"/>
    <w:rsid w:val="00CF25C2"/>
    <w:rsid w:val="00CF2DD9"/>
    <w:rsid w:val="00CF6ED2"/>
    <w:rsid w:val="00D0017B"/>
    <w:rsid w:val="00D10399"/>
    <w:rsid w:val="00D13543"/>
    <w:rsid w:val="00D25527"/>
    <w:rsid w:val="00D60180"/>
    <w:rsid w:val="00D6106D"/>
    <w:rsid w:val="00D63837"/>
    <w:rsid w:val="00D66EC2"/>
    <w:rsid w:val="00D67C3B"/>
    <w:rsid w:val="00D72575"/>
    <w:rsid w:val="00D75822"/>
    <w:rsid w:val="00D820C4"/>
    <w:rsid w:val="00D909EF"/>
    <w:rsid w:val="00D9740B"/>
    <w:rsid w:val="00DA53CB"/>
    <w:rsid w:val="00DB213F"/>
    <w:rsid w:val="00DB7204"/>
    <w:rsid w:val="00DE0528"/>
    <w:rsid w:val="00DE64D1"/>
    <w:rsid w:val="00DF773C"/>
    <w:rsid w:val="00E005B0"/>
    <w:rsid w:val="00E36287"/>
    <w:rsid w:val="00E608CD"/>
    <w:rsid w:val="00E67DE2"/>
    <w:rsid w:val="00E94337"/>
    <w:rsid w:val="00EA3C7E"/>
    <w:rsid w:val="00EA71DE"/>
    <w:rsid w:val="00ED6D1C"/>
    <w:rsid w:val="00ED79B7"/>
    <w:rsid w:val="00EE7A8E"/>
    <w:rsid w:val="00EF3D44"/>
    <w:rsid w:val="00F10719"/>
    <w:rsid w:val="00F711F0"/>
    <w:rsid w:val="00F75974"/>
    <w:rsid w:val="00F812AC"/>
    <w:rsid w:val="00F84A70"/>
    <w:rsid w:val="00F90186"/>
    <w:rsid w:val="00FA2666"/>
    <w:rsid w:val="00FD0DFB"/>
    <w:rsid w:val="00FE36CE"/>
    <w:rsid w:val="00FF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393BD1"/>
  <w15:chartTrackingRefBased/>
  <w15:docId w15:val="{9D593C81-F459-47BA-8D4B-5808AFC5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autoSpaceDE w:val="0"/>
      <w:autoSpaceDN w:val="0"/>
      <w:adjustRightInd w:val="0"/>
      <w:jc w:val="center"/>
      <w:outlineLvl w:val="0"/>
    </w:pPr>
    <w:rPr>
      <w:b/>
      <w:sz w:val="22"/>
      <w:lang w:val="en-U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link w:val="Heading4Char"/>
    <w:qFormat/>
    <w:rsid w:val="00E005B0"/>
    <w:pPr>
      <w:keepNext/>
      <w:keepLines/>
      <w:tabs>
        <w:tab w:val="num" w:pos="907"/>
      </w:tabs>
      <w:spacing w:before="240"/>
      <w:ind w:left="900" w:hanging="900"/>
      <w:outlineLvl w:val="3"/>
    </w:pPr>
    <w:rPr>
      <w:b/>
      <w:szCs w:val="20"/>
      <w:lang w:val="en-US"/>
    </w:rPr>
  </w:style>
  <w:style w:type="paragraph" w:styleId="Heading5">
    <w:name w:val="heading 5"/>
    <w:basedOn w:val="Normal"/>
    <w:next w:val="Normal"/>
    <w:qFormat/>
    <w:pPr>
      <w:numPr>
        <w:numId w:val="21"/>
      </w:numPr>
      <w:spacing w:before="240" w:after="60"/>
      <w:outlineLvl w:val="4"/>
    </w:pPr>
    <w:rPr>
      <w:b/>
      <w:bCs/>
      <w:i/>
      <w:iCs/>
      <w:sz w:val="26"/>
      <w:szCs w:val="26"/>
    </w:rPr>
  </w:style>
  <w:style w:type="paragraph" w:styleId="Heading6">
    <w:name w:val="heading 6"/>
    <w:basedOn w:val="Normal"/>
    <w:next w:val="Normal"/>
    <w:link w:val="Heading6Char"/>
    <w:qFormat/>
    <w:rsid w:val="00E005B0"/>
    <w:pPr>
      <w:keepNext/>
      <w:keepLines/>
      <w:tabs>
        <w:tab w:val="num" w:pos="1267"/>
      </w:tabs>
      <w:spacing w:before="240"/>
      <w:ind w:left="1260" w:hanging="1260"/>
      <w:outlineLvl w:val="5"/>
    </w:pPr>
    <w:rPr>
      <w:b/>
      <w:bCs/>
      <w:szCs w:val="22"/>
      <w:lang w:val="en-US"/>
    </w:rPr>
  </w:style>
  <w:style w:type="paragraph" w:styleId="Heading7">
    <w:name w:val="heading 7"/>
    <w:basedOn w:val="Normal"/>
    <w:next w:val="Normal"/>
    <w:link w:val="Heading7Char"/>
    <w:qFormat/>
    <w:rsid w:val="00E005B0"/>
    <w:pPr>
      <w:keepNext/>
      <w:keepLines/>
      <w:tabs>
        <w:tab w:val="num" w:pos="1440"/>
      </w:tabs>
      <w:spacing w:before="240"/>
      <w:ind w:left="1440" w:hanging="1440"/>
      <w:outlineLvl w:val="6"/>
    </w:pPr>
    <w:rPr>
      <w:b/>
      <w:lang w:val="en-US"/>
    </w:rPr>
  </w:style>
  <w:style w:type="paragraph" w:styleId="Heading9">
    <w:name w:val="heading 9"/>
    <w:aliases w:val="Index Heading 1"/>
    <w:basedOn w:val="Normal"/>
    <w:next w:val="Normal"/>
    <w:link w:val="Heading9Char"/>
    <w:qFormat/>
    <w:rsid w:val="00E005B0"/>
    <w:pPr>
      <w:keepNext/>
      <w:pageBreakBefore/>
      <w:tabs>
        <w:tab w:val="num" w:pos="1584"/>
      </w:tabs>
      <w:jc w:val="center"/>
      <w:outlineLvl w:val="8"/>
    </w:pPr>
    <w:rPr>
      <w:rFonts w:cs="Arial"/>
      <w:b/>
      <w:sz w:val="28"/>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semiHidden/>
    <w:pPr>
      <w:jc w:val="center"/>
    </w:pPr>
    <w:rPr>
      <w:b/>
      <w:bCs/>
    </w:rPr>
  </w:style>
  <w:style w:type="paragraph" w:styleId="BodyTextIndent">
    <w:name w:val="Body Text Indent"/>
    <w:basedOn w:val="Normal"/>
    <w:semiHidden/>
    <w:pPr>
      <w:autoSpaceDE w:val="0"/>
      <w:autoSpaceDN w:val="0"/>
      <w:adjustRightInd w:val="0"/>
      <w:ind w:left="360" w:hanging="360"/>
    </w:pPr>
    <w:rPr>
      <w:sz w:val="23"/>
      <w:lang w:val="en-U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pPr>
  </w:style>
  <w:style w:type="paragraph" w:styleId="ListBullet3">
    <w:name w:val="List Bullet 3"/>
    <w:basedOn w:val="Normal"/>
    <w:autoRedefine/>
    <w:semiHidden/>
    <w:pPr>
      <w:numPr>
        <w:numId w:val="7"/>
      </w:numPr>
    </w:pPr>
  </w:style>
  <w:style w:type="paragraph" w:styleId="ListBullet4">
    <w:name w:val="List Bullet 4"/>
    <w:basedOn w:val="Normal"/>
    <w:autoRedefine/>
    <w:semiHidden/>
    <w:pPr>
      <w:numPr>
        <w:numId w:val="8"/>
      </w:numPr>
    </w:pPr>
  </w:style>
  <w:style w:type="paragraph" w:styleId="ListBullet5">
    <w:name w:val="List Bullet 5"/>
    <w:basedOn w:val="Normal"/>
    <w:autoRedefine/>
    <w:semiHidden/>
    <w:pPr>
      <w:numPr>
        <w:numId w:val="9"/>
      </w:numPr>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pPr>
  </w:style>
  <w:style w:type="paragraph" w:styleId="ListNumber3">
    <w:name w:val="List Number 3"/>
    <w:basedOn w:val="Normal"/>
    <w:semiHidden/>
    <w:pPr>
      <w:numPr>
        <w:numId w:val="12"/>
      </w:numPr>
    </w:pPr>
  </w:style>
  <w:style w:type="paragraph" w:styleId="ListNumber4">
    <w:name w:val="List Number 4"/>
    <w:basedOn w:val="Normal"/>
    <w:semiHidden/>
    <w:pPr>
      <w:numPr>
        <w:numId w:val="13"/>
      </w:numPr>
    </w:pPr>
  </w:style>
  <w:style w:type="paragraph" w:styleId="ListNumber5">
    <w:name w:val="List Number 5"/>
    <w:basedOn w:val="Normal"/>
    <w:semiHidden/>
    <w:pPr>
      <w:numPr>
        <w:numId w:val="14"/>
      </w:numPr>
    </w:pPr>
  </w:style>
  <w:style w:type="paragraph" w:styleId="List3">
    <w:name w:val="List 3"/>
    <w:basedOn w:val="Normal"/>
    <w:semiHidden/>
    <w:pPr>
      <w:ind w:left="1080" w:hanging="360"/>
    </w:pPr>
  </w:style>
  <w:style w:type="paragraph" w:styleId="Caption">
    <w:name w:val="caption"/>
    <w:basedOn w:val="Normal"/>
    <w:next w:val="Normal"/>
    <w:qFormat/>
    <w:pPr>
      <w:spacing w:before="120" w:after="120"/>
    </w:pPr>
    <w:rPr>
      <w:b/>
      <w:bCs/>
      <w:sz w:val="20"/>
      <w:szCs w:val="20"/>
    </w:rPr>
  </w:style>
  <w:style w:type="paragraph" w:styleId="Date">
    <w:name w:val="Date"/>
    <w:basedOn w:val="Normal"/>
    <w:next w:val="Normal"/>
    <w:semiHidden/>
  </w:style>
  <w:style w:type="paragraph" w:styleId="Footer">
    <w:name w:val="footer"/>
    <w:basedOn w:val="Normal"/>
    <w:semiHidden/>
    <w:pPr>
      <w:tabs>
        <w:tab w:val="center" w:pos="4680"/>
        <w:tab w:val="right" w:pos="9540"/>
      </w:tabs>
    </w:pPr>
    <w:rPr>
      <w:b/>
      <w:sz w:val="22"/>
      <w:szCs w:val="20"/>
      <w:lang w:val="en-US"/>
    </w:rPr>
  </w:style>
  <w:style w:type="paragraph" w:styleId="Header">
    <w:name w:val="header"/>
    <w:basedOn w:val="Normal"/>
    <w:semiHidden/>
    <w:pPr>
      <w:tabs>
        <w:tab w:val="center" w:pos="4153"/>
        <w:tab w:val="right" w:pos="8306"/>
      </w:tabs>
    </w:pPr>
  </w:style>
  <w:style w:type="paragraph" w:styleId="BodyTextIndent2">
    <w:name w:val="Body Text Indent 2"/>
    <w:basedOn w:val="Normal"/>
    <w:semiHidden/>
    <w:pPr>
      <w:suppressAutoHyphens/>
      <w:spacing w:line="238" w:lineRule="exact"/>
      <w:ind w:left="1080" w:hanging="720"/>
    </w:pPr>
    <w:rPr>
      <w:spacing w:val="-2"/>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BalloonText">
    <w:name w:val="Balloon Text"/>
    <w:basedOn w:val="Normal"/>
    <w:link w:val="BalloonTextChar"/>
    <w:uiPriority w:val="99"/>
    <w:semiHidden/>
    <w:unhideWhenUsed/>
    <w:rsid w:val="008F55E7"/>
    <w:rPr>
      <w:rFonts w:ascii="Segoe UI" w:hAnsi="Segoe UI" w:cs="Segoe UI"/>
      <w:sz w:val="18"/>
      <w:szCs w:val="18"/>
    </w:rPr>
  </w:style>
  <w:style w:type="character" w:customStyle="1" w:styleId="BalloonTextChar">
    <w:name w:val="Balloon Text Char"/>
    <w:link w:val="BalloonText"/>
    <w:uiPriority w:val="99"/>
    <w:semiHidden/>
    <w:rsid w:val="008F55E7"/>
    <w:rPr>
      <w:rFonts w:ascii="Segoe UI" w:hAnsi="Segoe UI" w:cs="Segoe UI"/>
      <w:sz w:val="18"/>
      <w:szCs w:val="18"/>
      <w:lang w:val="en-GB"/>
    </w:rPr>
  </w:style>
  <w:style w:type="table" w:styleId="TableGrid">
    <w:name w:val="Table Grid"/>
    <w:basedOn w:val="TableNormal"/>
    <w:uiPriority w:val="39"/>
    <w:rsid w:val="009C6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4A70"/>
    <w:pPr>
      <w:ind w:left="720"/>
      <w:contextualSpacing/>
    </w:pPr>
  </w:style>
  <w:style w:type="paragraph" w:customStyle="1" w:styleId="TableTitle">
    <w:name w:val="_Table_Title"/>
    <w:basedOn w:val="Normal"/>
    <w:next w:val="Normal"/>
    <w:rsid w:val="00E005B0"/>
    <w:pPr>
      <w:keepNext/>
      <w:keepLines/>
      <w:suppressAutoHyphens/>
      <w:spacing w:before="480" w:after="240"/>
      <w:jc w:val="center"/>
    </w:pPr>
    <w:rPr>
      <w:b/>
      <w:snapToGrid w:val="0"/>
      <w:szCs w:val="20"/>
      <w:lang w:val="en-US"/>
    </w:rPr>
  </w:style>
  <w:style w:type="paragraph" w:customStyle="1" w:styleId="FigureTableTitle">
    <w:name w:val="Figure/Table Title"/>
    <w:basedOn w:val="Normal"/>
    <w:next w:val="Normal"/>
    <w:rsid w:val="00E005B0"/>
    <w:pPr>
      <w:keepLines/>
      <w:tabs>
        <w:tab w:val="left" w:pos="20"/>
      </w:tabs>
      <w:suppressAutoHyphens/>
      <w:spacing w:before="240" w:line="280" w:lineRule="atLeast"/>
      <w:jc w:val="center"/>
    </w:pPr>
    <w:rPr>
      <w:b/>
      <w:szCs w:val="20"/>
      <w:lang w:val="en-US"/>
    </w:rPr>
  </w:style>
  <w:style w:type="character" w:customStyle="1" w:styleId="Heading4Char">
    <w:name w:val="Heading 4 Char"/>
    <w:basedOn w:val="DefaultParagraphFont"/>
    <w:link w:val="Heading4"/>
    <w:rsid w:val="00E005B0"/>
    <w:rPr>
      <w:b/>
      <w:sz w:val="24"/>
    </w:rPr>
  </w:style>
  <w:style w:type="character" w:customStyle="1" w:styleId="Heading6Char">
    <w:name w:val="Heading 6 Char"/>
    <w:basedOn w:val="DefaultParagraphFont"/>
    <w:link w:val="Heading6"/>
    <w:rsid w:val="00E005B0"/>
    <w:rPr>
      <w:b/>
      <w:bCs/>
      <w:sz w:val="24"/>
      <w:szCs w:val="22"/>
    </w:rPr>
  </w:style>
  <w:style w:type="character" w:customStyle="1" w:styleId="Heading7Char">
    <w:name w:val="Heading 7 Char"/>
    <w:basedOn w:val="DefaultParagraphFont"/>
    <w:link w:val="Heading7"/>
    <w:rsid w:val="00E005B0"/>
    <w:rPr>
      <w:b/>
      <w:sz w:val="24"/>
      <w:szCs w:val="24"/>
    </w:rPr>
  </w:style>
  <w:style w:type="character" w:customStyle="1" w:styleId="Heading9Char">
    <w:name w:val="Heading 9 Char"/>
    <w:aliases w:val="Index Heading 1 Char"/>
    <w:basedOn w:val="DefaultParagraphFont"/>
    <w:link w:val="Heading9"/>
    <w:rsid w:val="00E005B0"/>
    <w:rPr>
      <w:rFonts w:cs="Arial"/>
      <w:b/>
      <w:sz w:val="28"/>
      <w:szCs w:val="22"/>
    </w:rPr>
  </w:style>
  <w:style w:type="paragraph" w:customStyle="1" w:styleId="Paragraph5">
    <w:name w:val="Paragraph 5"/>
    <w:basedOn w:val="Heading5"/>
    <w:rsid w:val="00E005B0"/>
    <w:pPr>
      <w:numPr>
        <w:ilvl w:val="4"/>
        <w:numId w:val="0"/>
      </w:numPr>
      <w:tabs>
        <w:tab w:val="left" w:pos="1080"/>
      </w:tabs>
      <w:spacing w:after="0" w:line="280" w:lineRule="atLeast"/>
      <w:jc w:val="both"/>
      <w:outlineLvl w:val="9"/>
    </w:pPr>
    <w:rPr>
      <w:b w:val="0"/>
      <w:bCs w:val="0"/>
      <w:i w:val="0"/>
      <w:iCs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34892">
      <w:bodyDiv w:val="1"/>
      <w:marLeft w:val="0"/>
      <w:marRight w:val="0"/>
      <w:marTop w:val="0"/>
      <w:marBottom w:val="0"/>
      <w:divBdr>
        <w:top w:val="none" w:sz="0" w:space="0" w:color="auto"/>
        <w:left w:val="none" w:sz="0" w:space="0" w:color="auto"/>
        <w:bottom w:val="none" w:sz="0" w:space="0" w:color="auto"/>
        <w:right w:val="none" w:sz="0" w:space="0" w:color="auto"/>
      </w:divBdr>
      <w:divsChild>
        <w:div w:id="1195924634">
          <w:marLeft w:val="0"/>
          <w:marRight w:val="0"/>
          <w:marTop w:val="0"/>
          <w:marBottom w:val="0"/>
          <w:divBdr>
            <w:top w:val="none" w:sz="0" w:space="0" w:color="auto"/>
            <w:left w:val="none" w:sz="0" w:space="0" w:color="auto"/>
            <w:bottom w:val="none" w:sz="0" w:space="0" w:color="auto"/>
            <w:right w:val="none" w:sz="0" w:space="0" w:color="auto"/>
          </w:divBdr>
        </w:div>
        <w:div w:id="395011493">
          <w:marLeft w:val="0"/>
          <w:marRight w:val="0"/>
          <w:marTop w:val="0"/>
          <w:marBottom w:val="0"/>
          <w:divBdr>
            <w:top w:val="none" w:sz="0" w:space="0" w:color="auto"/>
            <w:left w:val="none" w:sz="0" w:space="0" w:color="auto"/>
            <w:bottom w:val="none" w:sz="0" w:space="0" w:color="auto"/>
            <w:right w:val="none" w:sz="0" w:space="0" w:color="auto"/>
          </w:divBdr>
        </w:div>
      </w:divsChild>
    </w:div>
    <w:div w:id="450785483">
      <w:bodyDiv w:val="1"/>
      <w:marLeft w:val="0"/>
      <w:marRight w:val="0"/>
      <w:marTop w:val="0"/>
      <w:marBottom w:val="0"/>
      <w:divBdr>
        <w:top w:val="none" w:sz="0" w:space="0" w:color="auto"/>
        <w:left w:val="none" w:sz="0" w:space="0" w:color="auto"/>
        <w:bottom w:val="none" w:sz="0" w:space="0" w:color="auto"/>
        <w:right w:val="none" w:sz="0" w:space="0" w:color="auto"/>
      </w:divBdr>
      <w:divsChild>
        <w:div w:id="672530956">
          <w:marLeft w:val="0"/>
          <w:marRight w:val="0"/>
          <w:marTop w:val="0"/>
          <w:marBottom w:val="0"/>
          <w:divBdr>
            <w:top w:val="none" w:sz="0" w:space="0" w:color="auto"/>
            <w:left w:val="none" w:sz="0" w:space="0" w:color="auto"/>
            <w:bottom w:val="none" w:sz="0" w:space="0" w:color="auto"/>
            <w:right w:val="none" w:sz="0" w:space="0" w:color="auto"/>
          </w:divBdr>
        </w:div>
        <w:div w:id="515656379">
          <w:marLeft w:val="0"/>
          <w:marRight w:val="0"/>
          <w:marTop w:val="0"/>
          <w:marBottom w:val="0"/>
          <w:divBdr>
            <w:top w:val="none" w:sz="0" w:space="0" w:color="auto"/>
            <w:left w:val="none" w:sz="0" w:space="0" w:color="auto"/>
            <w:bottom w:val="none" w:sz="0" w:space="0" w:color="auto"/>
            <w:right w:val="none" w:sz="0" w:space="0" w:color="auto"/>
          </w:divBdr>
        </w:div>
        <w:div w:id="193419812">
          <w:marLeft w:val="0"/>
          <w:marRight w:val="0"/>
          <w:marTop w:val="0"/>
          <w:marBottom w:val="0"/>
          <w:divBdr>
            <w:top w:val="none" w:sz="0" w:space="0" w:color="auto"/>
            <w:left w:val="none" w:sz="0" w:space="0" w:color="auto"/>
            <w:bottom w:val="none" w:sz="0" w:space="0" w:color="auto"/>
            <w:right w:val="none" w:sz="0" w:space="0" w:color="auto"/>
          </w:divBdr>
        </w:div>
        <w:div w:id="1249001185">
          <w:marLeft w:val="0"/>
          <w:marRight w:val="0"/>
          <w:marTop w:val="0"/>
          <w:marBottom w:val="0"/>
          <w:divBdr>
            <w:top w:val="none" w:sz="0" w:space="0" w:color="auto"/>
            <w:left w:val="none" w:sz="0" w:space="0" w:color="auto"/>
            <w:bottom w:val="none" w:sz="0" w:space="0" w:color="auto"/>
            <w:right w:val="none" w:sz="0" w:space="0" w:color="auto"/>
          </w:divBdr>
        </w:div>
        <w:div w:id="1517770214">
          <w:marLeft w:val="0"/>
          <w:marRight w:val="0"/>
          <w:marTop w:val="0"/>
          <w:marBottom w:val="0"/>
          <w:divBdr>
            <w:top w:val="none" w:sz="0" w:space="0" w:color="auto"/>
            <w:left w:val="none" w:sz="0" w:space="0" w:color="auto"/>
            <w:bottom w:val="none" w:sz="0" w:space="0" w:color="auto"/>
            <w:right w:val="none" w:sz="0" w:space="0" w:color="auto"/>
          </w:divBdr>
        </w:div>
        <w:div w:id="9919634">
          <w:marLeft w:val="0"/>
          <w:marRight w:val="0"/>
          <w:marTop w:val="0"/>
          <w:marBottom w:val="0"/>
          <w:divBdr>
            <w:top w:val="none" w:sz="0" w:space="0" w:color="auto"/>
            <w:left w:val="none" w:sz="0" w:space="0" w:color="auto"/>
            <w:bottom w:val="none" w:sz="0" w:space="0" w:color="auto"/>
            <w:right w:val="none" w:sz="0" w:space="0" w:color="auto"/>
          </w:divBdr>
        </w:div>
        <w:div w:id="1865245172">
          <w:marLeft w:val="0"/>
          <w:marRight w:val="0"/>
          <w:marTop w:val="0"/>
          <w:marBottom w:val="0"/>
          <w:divBdr>
            <w:top w:val="none" w:sz="0" w:space="0" w:color="auto"/>
            <w:left w:val="none" w:sz="0" w:space="0" w:color="auto"/>
            <w:bottom w:val="none" w:sz="0" w:space="0" w:color="auto"/>
            <w:right w:val="none" w:sz="0" w:space="0" w:color="auto"/>
          </w:divBdr>
        </w:div>
        <w:div w:id="1944723857">
          <w:marLeft w:val="0"/>
          <w:marRight w:val="0"/>
          <w:marTop w:val="0"/>
          <w:marBottom w:val="0"/>
          <w:divBdr>
            <w:top w:val="none" w:sz="0" w:space="0" w:color="auto"/>
            <w:left w:val="none" w:sz="0" w:space="0" w:color="auto"/>
            <w:bottom w:val="none" w:sz="0" w:space="0" w:color="auto"/>
            <w:right w:val="none" w:sz="0" w:space="0" w:color="auto"/>
          </w:divBdr>
        </w:div>
        <w:div w:id="1217933415">
          <w:marLeft w:val="0"/>
          <w:marRight w:val="0"/>
          <w:marTop w:val="0"/>
          <w:marBottom w:val="0"/>
          <w:divBdr>
            <w:top w:val="none" w:sz="0" w:space="0" w:color="auto"/>
            <w:left w:val="none" w:sz="0" w:space="0" w:color="auto"/>
            <w:bottom w:val="none" w:sz="0" w:space="0" w:color="auto"/>
            <w:right w:val="none" w:sz="0" w:space="0" w:color="auto"/>
          </w:divBdr>
        </w:div>
        <w:div w:id="1815947698">
          <w:marLeft w:val="0"/>
          <w:marRight w:val="0"/>
          <w:marTop w:val="0"/>
          <w:marBottom w:val="0"/>
          <w:divBdr>
            <w:top w:val="none" w:sz="0" w:space="0" w:color="auto"/>
            <w:left w:val="none" w:sz="0" w:space="0" w:color="auto"/>
            <w:bottom w:val="none" w:sz="0" w:space="0" w:color="auto"/>
            <w:right w:val="none" w:sz="0" w:space="0" w:color="auto"/>
          </w:divBdr>
        </w:div>
        <w:div w:id="475031021">
          <w:marLeft w:val="0"/>
          <w:marRight w:val="0"/>
          <w:marTop w:val="0"/>
          <w:marBottom w:val="0"/>
          <w:divBdr>
            <w:top w:val="none" w:sz="0" w:space="0" w:color="auto"/>
            <w:left w:val="none" w:sz="0" w:space="0" w:color="auto"/>
            <w:bottom w:val="none" w:sz="0" w:space="0" w:color="auto"/>
            <w:right w:val="none" w:sz="0" w:space="0" w:color="auto"/>
          </w:divBdr>
        </w:div>
        <w:div w:id="1695957372">
          <w:marLeft w:val="0"/>
          <w:marRight w:val="0"/>
          <w:marTop w:val="0"/>
          <w:marBottom w:val="0"/>
          <w:divBdr>
            <w:top w:val="none" w:sz="0" w:space="0" w:color="auto"/>
            <w:left w:val="none" w:sz="0" w:space="0" w:color="auto"/>
            <w:bottom w:val="none" w:sz="0" w:space="0" w:color="auto"/>
            <w:right w:val="none" w:sz="0" w:space="0" w:color="auto"/>
          </w:divBdr>
        </w:div>
        <w:div w:id="1398632457">
          <w:marLeft w:val="0"/>
          <w:marRight w:val="0"/>
          <w:marTop w:val="0"/>
          <w:marBottom w:val="0"/>
          <w:divBdr>
            <w:top w:val="none" w:sz="0" w:space="0" w:color="auto"/>
            <w:left w:val="none" w:sz="0" w:space="0" w:color="auto"/>
            <w:bottom w:val="none" w:sz="0" w:space="0" w:color="auto"/>
            <w:right w:val="none" w:sz="0" w:space="0" w:color="auto"/>
          </w:divBdr>
        </w:div>
        <w:div w:id="1135684181">
          <w:marLeft w:val="0"/>
          <w:marRight w:val="0"/>
          <w:marTop w:val="0"/>
          <w:marBottom w:val="0"/>
          <w:divBdr>
            <w:top w:val="none" w:sz="0" w:space="0" w:color="auto"/>
            <w:left w:val="none" w:sz="0" w:space="0" w:color="auto"/>
            <w:bottom w:val="none" w:sz="0" w:space="0" w:color="auto"/>
            <w:right w:val="none" w:sz="0" w:space="0" w:color="auto"/>
          </w:divBdr>
        </w:div>
        <w:div w:id="529032664">
          <w:marLeft w:val="0"/>
          <w:marRight w:val="0"/>
          <w:marTop w:val="0"/>
          <w:marBottom w:val="0"/>
          <w:divBdr>
            <w:top w:val="none" w:sz="0" w:space="0" w:color="auto"/>
            <w:left w:val="none" w:sz="0" w:space="0" w:color="auto"/>
            <w:bottom w:val="none" w:sz="0" w:space="0" w:color="auto"/>
            <w:right w:val="none" w:sz="0" w:space="0" w:color="auto"/>
          </w:divBdr>
        </w:div>
        <w:div w:id="831481570">
          <w:marLeft w:val="0"/>
          <w:marRight w:val="0"/>
          <w:marTop w:val="0"/>
          <w:marBottom w:val="0"/>
          <w:divBdr>
            <w:top w:val="none" w:sz="0" w:space="0" w:color="auto"/>
            <w:left w:val="none" w:sz="0" w:space="0" w:color="auto"/>
            <w:bottom w:val="none" w:sz="0" w:space="0" w:color="auto"/>
            <w:right w:val="none" w:sz="0" w:space="0" w:color="auto"/>
          </w:divBdr>
        </w:div>
        <w:div w:id="592785223">
          <w:marLeft w:val="0"/>
          <w:marRight w:val="0"/>
          <w:marTop w:val="0"/>
          <w:marBottom w:val="0"/>
          <w:divBdr>
            <w:top w:val="none" w:sz="0" w:space="0" w:color="auto"/>
            <w:left w:val="none" w:sz="0" w:space="0" w:color="auto"/>
            <w:bottom w:val="none" w:sz="0" w:space="0" w:color="auto"/>
            <w:right w:val="none" w:sz="0" w:space="0" w:color="auto"/>
          </w:divBdr>
        </w:div>
        <w:div w:id="1181508803">
          <w:marLeft w:val="0"/>
          <w:marRight w:val="0"/>
          <w:marTop w:val="0"/>
          <w:marBottom w:val="0"/>
          <w:divBdr>
            <w:top w:val="none" w:sz="0" w:space="0" w:color="auto"/>
            <w:left w:val="none" w:sz="0" w:space="0" w:color="auto"/>
            <w:bottom w:val="none" w:sz="0" w:space="0" w:color="auto"/>
            <w:right w:val="none" w:sz="0" w:space="0" w:color="auto"/>
          </w:divBdr>
        </w:div>
        <w:div w:id="699553503">
          <w:marLeft w:val="0"/>
          <w:marRight w:val="0"/>
          <w:marTop w:val="0"/>
          <w:marBottom w:val="0"/>
          <w:divBdr>
            <w:top w:val="none" w:sz="0" w:space="0" w:color="auto"/>
            <w:left w:val="none" w:sz="0" w:space="0" w:color="auto"/>
            <w:bottom w:val="none" w:sz="0" w:space="0" w:color="auto"/>
            <w:right w:val="none" w:sz="0" w:space="0" w:color="auto"/>
          </w:divBdr>
        </w:div>
        <w:div w:id="936864211">
          <w:marLeft w:val="0"/>
          <w:marRight w:val="0"/>
          <w:marTop w:val="0"/>
          <w:marBottom w:val="0"/>
          <w:divBdr>
            <w:top w:val="none" w:sz="0" w:space="0" w:color="auto"/>
            <w:left w:val="none" w:sz="0" w:space="0" w:color="auto"/>
            <w:bottom w:val="none" w:sz="0" w:space="0" w:color="auto"/>
            <w:right w:val="none" w:sz="0" w:space="0" w:color="auto"/>
          </w:divBdr>
        </w:div>
        <w:div w:id="1673992811">
          <w:marLeft w:val="0"/>
          <w:marRight w:val="0"/>
          <w:marTop w:val="0"/>
          <w:marBottom w:val="0"/>
          <w:divBdr>
            <w:top w:val="none" w:sz="0" w:space="0" w:color="auto"/>
            <w:left w:val="none" w:sz="0" w:space="0" w:color="auto"/>
            <w:bottom w:val="none" w:sz="0" w:space="0" w:color="auto"/>
            <w:right w:val="none" w:sz="0" w:space="0" w:color="auto"/>
          </w:divBdr>
        </w:div>
        <w:div w:id="359476175">
          <w:marLeft w:val="0"/>
          <w:marRight w:val="0"/>
          <w:marTop w:val="0"/>
          <w:marBottom w:val="0"/>
          <w:divBdr>
            <w:top w:val="none" w:sz="0" w:space="0" w:color="auto"/>
            <w:left w:val="none" w:sz="0" w:space="0" w:color="auto"/>
            <w:bottom w:val="none" w:sz="0" w:space="0" w:color="auto"/>
            <w:right w:val="none" w:sz="0" w:space="0" w:color="auto"/>
          </w:divBdr>
        </w:div>
        <w:div w:id="1229920775">
          <w:marLeft w:val="0"/>
          <w:marRight w:val="0"/>
          <w:marTop w:val="0"/>
          <w:marBottom w:val="0"/>
          <w:divBdr>
            <w:top w:val="none" w:sz="0" w:space="0" w:color="auto"/>
            <w:left w:val="none" w:sz="0" w:space="0" w:color="auto"/>
            <w:bottom w:val="none" w:sz="0" w:space="0" w:color="auto"/>
            <w:right w:val="none" w:sz="0" w:space="0" w:color="auto"/>
          </w:divBdr>
        </w:div>
        <w:div w:id="405420461">
          <w:marLeft w:val="0"/>
          <w:marRight w:val="0"/>
          <w:marTop w:val="0"/>
          <w:marBottom w:val="0"/>
          <w:divBdr>
            <w:top w:val="none" w:sz="0" w:space="0" w:color="auto"/>
            <w:left w:val="none" w:sz="0" w:space="0" w:color="auto"/>
            <w:bottom w:val="none" w:sz="0" w:space="0" w:color="auto"/>
            <w:right w:val="none" w:sz="0" w:space="0" w:color="auto"/>
          </w:divBdr>
        </w:div>
        <w:div w:id="1163816612">
          <w:marLeft w:val="0"/>
          <w:marRight w:val="0"/>
          <w:marTop w:val="0"/>
          <w:marBottom w:val="0"/>
          <w:divBdr>
            <w:top w:val="none" w:sz="0" w:space="0" w:color="auto"/>
            <w:left w:val="none" w:sz="0" w:space="0" w:color="auto"/>
            <w:bottom w:val="none" w:sz="0" w:space="0" w:color="auto"/>
            <w:right w:val="none" w:sz="0" w:space="0" w:color="auto"/>
          </w:divBdr>
        </w:div>
        <w:div w:id="955912729">
          <w:marLeft w:val="0"/>
          <w:marRight w:val="0"/>
          <w:marTop w:val="0"/>
          <w:marBottom w:val="0"/>
          <w:divBdr>
            <w:top w:val="none" w:sz="0" w:space="0" w:color="auto"/>
            <w:left w:val="none" w:sz="0" w:space="0" w:color="auto"/>
            <w:bottom w:val="none" w:sz="0" w:space="0" w:color="auto"/>
            <w:right w:val="none" w:sz="0" w:space="0" w:color="auto"/>
          </w:divBdr>
        </w:div>
        <w:div w:id="1499078283">
          <w:marLeft w:val="0"/>
          <w:marRight w:val="0"/>
          <w:marTop w:val="0"/>
          <w:marBottom w:val="0"/>
          <w:divBdr>
            <w:top w:val="none" w:sz="0" w:space="0" w:color="auto"/>
            <w:left w:val="none" w:sz="0" w:space="0" w:color="auto"/>
            <w:bottom w:val="none" w:sz="0" w:space="0" w:color="auto"/>
            <w:right w:val="none" w:sz="0" w:space="0" w:color="auto"/>
          </w:divBdr>
        </w:div>
        <w:div w:id="949050093">
          <w:marLeft w:val="0"/>
          <w:marRight w:val="0"/>
          <w:marTop w:val="0"/>
          <w:marBottom w:val="0"/>
          <w:divBdr>
            <w:top w:val="none" w:sz="0" w:space="0" w:color="auto"/>
            <w:left w:val="none" w:sz="0" w:space="0" w:color="auto"/>
            <w:bottom w:val="none" w:sz="0" w:space="0" w:color="auto"/>
            <w:right w:val="none" w:sz="0" w:space="0" w:color="auto"/>
          </w:divBdr>
        </w:div>
        <w:div w:id="1756241667">
          <w:marLeft w:val="0"/>
          <w:marRight w:val="0"/>
          <w:marTop w:val="0"/>
          <w:marBottom w:val="0"/>
          <w:divBdr>
            <w:top w:val="none" w:sz="0" w:space="0" w:color="auto"/>
            <w:left w:val="none" w:sz="0" w:space="0" w:color="auto"/>
            <w:bottom w:val="none" w:sz="0" w:space="0" w:color="auto"/>
            <w:right w:val="none" w:sz="0" w:space="0" w:color="auto"/>
          </w:divBdr>
        </w:div>
        <w:div w:id="1366902616">
          <w:marLeft w:val="0"/>
          <w:marRight w:val="0"/>
          <w:marTop w:val="0"/>
          <w:marBottom w:val="0"/>
          <w:divBdr>
            <w:top w:val="none" w:sz="0" w:space="0" w:color="auto"/>
            <w:left w:val="none" w:sz="0" w:space="0" w:color="auto"/>
            <w:bottom w:val="none" w:sz="0" w:space="0" w:color="auto"/>
            <w:right w:val="none" w:sz="0" w:space="0" w:color="auto"/>
          </w:divBdr>
        </w:div>
        <w:div w:id="342635291">
          <w:marLeft w:val="0"/>
          <w:marRight w:val="0"/>
          <w:marTop w:val="0"/>
          <w:marBottom w:val="0"/>
          <w:divBdr>
            <w:top w:val="none" w:sz="0" w:space="0" w:color="auto"/>
            <w:left w:val="none" w:sz="0" w:space="0" w:color="auto"/>
            <w:bottom w:val="none" w:sz="0" w:space="0" w:color="auto"/>
            <w:right w:val="none" w:sz="0" w:space="0" w:color="auto"/>
          </w:divBdr>
        </w:div>
        <w:div w:id="777987299">
          <w:marLeft w:val="0"/>
          <w:marRight w:val="0"/>
          <w:marTop w:val="0"/>
          <w:marBottom w:val="0"/>
          <w:divBdr>
            <w:top w:val="none" w:sz="0" w:space="0" w:color="auto"/>
            <w:left w:val="none" w:sz="0" w:space="0" w:color="auto"/>
            <w:bottom w:val="none" w:sz="0" w:space="0" w:color="auto"/>
            <w:right w:val="none" w:sz="0" w:space="0" w:color="auto"/>
          </w:divBdr>
        </w:div>
        <w:div w:id="435102034">
          <w:marLeft w:val="0"/>
          <w:marRight w:val="0"/>
          <w:marTop w:val="0"/>
          <w:marBottom w:val="0"/>
          <w:divBdr>
            <w:top w:val="none" w:sz="0" w:space="0" w:color="auto"/>
            <w:left w:val="none" w:sz="0" w:space="0" w:color="auto"/>
            <w:bottom w:val="none" w:sz="0" w:space="0" w:color="auto"/>
            <w:right w:val="none" w:sz="0" w:space="0" w:color="auto"/>
          </w:divBdr>
        </w:div>
        <w:div w:id="1204756890">
          <w:marLeft w:val="0"/>
          <w:marRight w:val="0"/>
          <w:marTop w:val="0"/>
          <w:marBottom w:val="0"/>
          <w:divBdr>
            <w:top w:val="none" w:sz="0" w:space="0" w:color="auto"/>
            <w:left w:val="none" w:sz="0" w:space="0" w:color="auto"/>
            <w:bottom w:val="none" w:sz="0" w:space="0" w:color="auto"/>
            <w:right w:val="none" w:sz="0" w:space="0" w:color="auto"/>
          </w:divBdr>
        </w:div>
        <w:div w:id="464852765">
          <w:marLeft w:val="0"/>
          <w:marRight w:val="0"/>
          <w:marTop w:val="0"/>
          <w:marBottom w:val="0"/>
          <w:divBdr>
            <w:top w:val="none" w:sz="0" w:space="0" w:color="auto"/>
            <w:left w:val="none" w:sz="0" w:space="0" w:color="auto"/>
            <w:bottom w:val="none" w:sz="0" w:space="0" w:color="auto"/>
            <w:right w:val="none" w:sz="0" w:space="0" w:color="auto"/>
          </w:divBdr>
        </w:div>
        <w:div w:id="1022128765">
          <w:marLeft w:val="0"/>
          <w:marRight w:val="0"/>
          <w:marTop w:val="0"/>
          <w:marBottom w:val="0"/>
          <w:divBdr>
            <w:top w:val="none" w:sz="0" w:space="0" w:color="auto"/>
            <w:left w:val="none" w:sz="0" w:space="0" w:color="auto"/>
            <w:bottom w:val="none" w:sz="0" w:space="0" w:color="auto"/>
            <w:right w:val="none" w:sz="0" w:space="0" w:color="auto"/>
          </w:divBdr>
        </w:div>
        <w:div w:id="1327587077">
          <w:marLeft w:val="0"/>
          <w:marRight w:val="0"/>
          <w:marTop w:val="0"/>
          <w:marBottom w:val="0"/>
          <w:divBdr>
            <w:top w:val="none" w:sz="0" w:space="0" w:color="auto"/>
            <w:left w:val="none" w:sz="0" w:space="0" w:color="auto"/>
            <w:bottom w:val="none" w:sz="0" w:space="0" w:color="auto"/>
            <w:right w:val="none" w:sz="0" w:space="0" w:color="auto"/>
          </w:divBdr>
        </w:div>
        <w:div w:id="2045976561">
          <w:marLeft w:val="0"/>
          <w:marRight w:val="0"/>
          <w:marTop w:val="0"/>
          <w:marBottom w:val="0"/>
          <w:divBdr>
            <w:top w:val="none" w:sz="0" w:space="0" w:color="auto"/>
            <w:left w:val="none" w:sz="0" w:space="0" w:color="auto"/>
            <w:bottom w:val="none" w:sz="0" w:space="0" w:color="auto"/>
            <w:right w:val="none" w:sz="0" w:space="0" w:color="auto"/>
          </w:divBdr>
        </w:div>
        <w:div w:id="1986932236">
          <w:marLeft w:val="0"/>
          <w:marRight w:val="0"/>
          <w:marTop w:val="0"/>
          <w:marBottom w:val="0"/>
          <w:divBdr>
            <w:top w:val="none" w:sz="0" w:space="0" w:color="auto"/>
            <w:left w:val="none" w:sz="0" w:space="0" w:color="auto"/>
            <w:bottom w:val="none" w:sz="0" w:space="0" w:color="auto"/>
            <w:right w:val="none" w:sz="0" w:space="0" w:color="auto"/>
          </w:divBdr>
        </w:div>
        <w:div w:id="502819121">
          <w:marLeft w:val="0"/>
          <w:marRight w:val="0"/>
          <w:marTop w:val="0"/>
          <w:marBottom w:val="0"/>
          <w:divBdr>
            <w:top w:val="none" w:sz="0" w:space="0" w:color="auto"/>
            <w:left w:val="none" w:sz="0" w:space="0" w:color="auto"/>
            <w:bottom w:val="none" w:sz="0" w:space="0" w:color="auto"/>
            <w:right w:val="none" w:sz="0" w:space="0" w:color="auto"/>
          </w:divBdr>
        </w:div>
      </w:divsChild>
    </w:div>
    <w:div w:id="904753356">
      <w:bodyDiv w:val="1"/>
      <w:marLeft w:val="0"/>
      <w:marRight w:val="0"/>
      <w:marTop w:val="0"/>
      <w:marBottom w:val="0"/>
      <w:divBdr>
        <w:top w:val="none" w:sz="0" w:space="0" w:color="auto"/>
        <w:left w:val="none" w:sz="0" w:space="0" w:color="auto"/>
        <w:bottom w:val="none" w:sz="0" w:space="0" w:color="auto"/>
        <w:right w:val="none" w:sz="0" w:space="0" w:color="auto"/>
      </w:divBdr>
      <w:divsChild>
        <w:div w:id="272176651">
          <w:marLeft w:val="0"/>
          <w:marRight w:val="0"/>
          <w:marTop w:val="0"/>
          <w:marBottom w:val="0"/>
          <w:divBdr>
            <w:top w:val="none" w:sz="0" w:space="0" w:color="auto"/>
            <w:left w:val="none" w:sz="0" w:space="0" w:color="auto"/>
            <w:bottom w:val="none" w:sz="0" w:space="0" w:color="auto"/>
            <w:right w:val="none" w:sz="0" w:space="0" w:color="auto"/>
          </w:divBdr>
        </w:div>
        <w:div w:id="671298752">
          <w:marLeft w:val="0"/>
          <w:marRight w:val="0"/>
          <w:marTop w:val="0"/>
          <w:marBottom w:val="0"/>
          <w:divBdr>
            <w:top w:val="none" w:sz="0" w:space="0" w:color="auto"/>
            <w:left w:val="none" w:sz="0" w:space="0" w:color="auto"/>
            <w:bottom w:val="none" w:sz="0" w:space="0" w:color="auto"/>
            <w:right w:val="none" w:sz="0" w:space="0" w:color="auto"/>
          </w:divBdr>
        </w:div>
        <w:div w:id="867986023">
          <w:marLeft w:val="0"/>
          <w:marRight w:val="0"/>
          <w:marTop w:val="0"/>
          <w:marBottom w:val="0"/>
          <w:divBdr>
            <w:top w:val="none" w:sz="0" w:space="0" w:color="auto"/>
            <w:left w:val="none" w:sz="0" w:space="0" w:color="auto"/>
            <w:bottom w:val="none" w:sz="0" w:space="0" w:color="auto"/>
            <w:right w:val="none" w:sz="0" w:space="0" w:color="auto"/>
          </w:divBdr>
        </w:div>
        <w:div w:id="273053094">
          <w:marLeft w:val="0"/>
          <w:marRight w:val="0"/>
          <w:marTop w:val="0"/>
          <w:marBottom w:val="0"/>
          <w:divBdr>
            <w:top w:val="none" w:sz="0" w:space="0" w:color="auto"/>
            <w:left w:val="none" w:sz="0" w:space="0" w:color="auto"/>
            <w:bottom w:val="none" w:sz="0" w:space="0" w:color="auto"/>
            <w:right w:val="none" w:sz="0" w:space="0" w:color="auto"/>
          </w:divBdr>
        </w:div>
        <w:div w:id="277303616">
          <w:marLeft w:val="0"/>
          <w:marRight w:val="0"/>
          <w:marTop w:val="0"/>
          <w:marBottom w:val="0"/>
          <w:divBdr>
            <w:top w:val="none" w:sz="0" w:space="0" w:color="auto"/>
            <w:left w:val="none" w:sz="0" w:space="0" w:color="auto"/>
            <w:bottom w:val="none" w:sz="0" w:space="0" w:color="auto"/>
            <w:right w:val="none" w:sz="0" w:space="0" w:color="auto"/>
          </w:divBdr>
        </w:div>
        <w:div w:id="529294497">
          <w:marLeft w:val="0"/>
          <w:marRight w:val="0"/>
          <w:marTop w:val="0"/>
          <w:marBottom w:val="0"/>
          <w:divBdr>
            <w:top w:val="none" w:sz="0" w:space="0" w:color="auto"/>
            <w:left w:val="none" w:sz="0" w:space="0" w:color="auto"/>
            <w:bottom w:val="none" w:sz="0" w:space="0" w:color="auto"/>
            <w:right w:val="none" w:sz="0" w:space="0" w:color="auto"/>
          </w:divBdr>
        </w:div>
        <w:div w:id="564997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8CC28-547F-4CF3-858F-0B30928F2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3</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CCSDS P1E</vt:lpstr>
    </vt:vector>
  </TitlesOfParts>
  <Company>ESA</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P1E</dc:title>
  <dc:subject/>
  <dc:creator>Jean-Luc Gerner</dc:creator>
  <cp:keywords/>
  <dc:description/>
  <cp:lastModifiedBy>Lee, Dennis K (332G)</cp:lastModifiedBy>
  <cp:revision>30</cp:revision>
  <cp:lastPrinted>2005-09-07T23:53:00Z</cp:lastPrinted>
  <dcterms:created xsi:type="dcterms:W3CDTF">2019-10-06T05:36:00Z</dcterms:created>
  <dcterms:modified xsi:type="dcterms:W3CDTF">2019-10-07T07:26:00Z</dcterms:modified>
</cp:coreProperties>
</file>