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5FBA" w14:textId="77777777" w:rsidR="00D76AB8" w:rsidRPr="001977AD" w:rsidRDefault="00D76AB8" w:rsidP="00D76A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77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CCSDS Optical Communications </w:t>
      </w:r>
      <w:r w:rsidR="005160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(OPT) </w:t>
      </w:r>
      <w:r w:rsidRPr="001977AD">
        <w:rPr>
          <w:rFonts w:ascii="Times New Roman" w:eastAsia="Times New Roman" w:hAnsi="Times New Roman" w:cs="Times New Roman"/>
          <w:b/>
          <w:bCs/>
          <w:sz w:val="32"/>
          <w:szCs w:val="32"/>
        </w:rPr>
        <w:t>Working Group</w:t>
      </w:r>
    </w:p>
    <w:p w14:paraId="3FE343AD" w14:textId="77777777" w:rsidR="004A7C4A" w:rsidRDefault="004A7C4A" w:rsidP="00D76A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Generic Framing Procedure (GFP) Project</w:t>
      </w:r>
    </w:p>
    <w:p w14:paraId="0CA82D46" w14:textId="77777777" w:rsidR="00322590" w:rsidRDefault="00322590" w:rsidP="00D76A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77AD">
        <w:rPr>
          <w:rFonts w:ascii="Times New Roman" w:eastAsia="Times New Roman" w:hAnsi="Times New Roman" w:cs="Times New Roman"/>
          <w:b/>
          <w:bCs/>
          <w:sz w:val="32"/>
          <w:szCs w:val="32"/>
        </w:rPr>
        <w:t>Concept Paper</w:t>
      </w:r>
    </w:p>
    <w:p w14:paraId="2ADD9FB6" w14:textId="77777777" w:rsidR="001977AD" w:rsidRPr="001977AD" w:rsidRDefault="001977AD" w:rsidP="00D76A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44D553" w14:textId="77777777" w:rsidR="00D76AB8" w:rsidRPr="001977AD" w:rsidRDefault="00D76AB8" w:rsidP="00A803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Section </w:t>
      </w:r>
      <w:r w:rsidR="001977AD" w:rsidRPr="001977AD"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  <w:r w:rsidRPr="00197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Background</w:t>
      </w:r>
    </w:p>
    <w:p w14:paraId="52B87A36" w14:textId="47C6C3F5" w:rsidR="007133B7" w:rsidRPr="007133B7" w:rsidRDefault="007133B7" w:rsidP="007133B7">
      <w:pPr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Recently, the CCSDS Optical Communications Working Group has been investigating the use of Generic Framing Procedure (GFP), a frame encapsulation technique defined by the International Telecommunications Union (ITU) G.7041/Y.1303 standard.  GFP has been proposed for inclusion in the Orange Book on High Data Rate Optical Communications at 1550 nm</w:t>
      </w:r>
      <w:r w:rsidR="00F05124">
        <w:rPr>
          <w:rFonts w:ascii="Times New Roman" w:hAnsi="Times New Roman" w:cs="Times New Roman"/>
          <w:sz w:val="24"/>
          <w:szCs w:val="24"/>
        </w:rPr>
        <w:t xml:space="preserve"> under development by </w:t>
      </w:r>
      <w:r w:rsidR="00F05124" w:rsidRPr="007133B7">
        <w:rPr>
          <w:rFonts w:ascii="Times New Roman" w:hAnsi="Times New Roman" w:cs="Times New Roman"/>
          <w:sz w:val="24"/>
          <w:szCs w:val="24"/>
        </w:rPr>
        <w:t xml:space="preserve">the </w:t>
      </w:r>
      <w:r w:rsidR="00F05124" w:rsidRPr="00F05124">
        <w:rPr>
          <w:rFonts w:ascii="Times New Roman" w:hAnsi="Times New Roman" w:cs="Times New Roman"/>
          <w:sz w:val="24"/>
          <w:szCs w:val="24"/>
        </w:rPr>
        <w:t xml:space="preserve">Centre National </w:t>
      </w:r>
      <w:proofErr w:type="spellStart"/>
      <w:r w:rsidR="00F05124" w:rsidRPr="00F05124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="00F05124" w:rsidRPr="00F05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24" w:rsidRPr="00F05124">
        <w:rPr>
          <w:rFonts w:ascii="Times New Roman" w:hAnsi="Times New Roman" w:cs="Times New Roman"/>
          <w:sz w:val="24"/>
          <w:szCs w:val="24"/>
        </w:rPr>
        <w:t>Spatiales</w:t>
      </w:r>
      <w:proofErr w:type="spellEnd"/>
      <w:r w:rsidR="00F05124" w:rsidRPr="00F05124">
        <w:rPr>
          <w:rFonts w:ascii="Times New Roman" w:hAnsi="Times New Roman" w:cs="Times New Roman"/>
          <w:sz w:val="24"/>
          <w:szCs w:val="24"/>
        </w:rPr>
        <w:t xml:space="preserve"> (</w:t>
      </w:r>
      <w:r w:rsidR="00F05124" w:rsidRPr="007133B7">
        <w:rPr>
          <w:rFonts w:ascii="Times New Roman" w:hAnsi="Times New Roman" w:cs="Times New Roman"/>
          <w:sz w:val="24"/>
          <w:szCs w:val="24"/>
        </w:rPr>
        <w:t>CNES</w:t>
      </w:r>
      <w:r w:rsidR="00F05124">
        <w:rPr>
          <w:rFonts w:ascii="Times New Roman" w:hAnsi="Times New Roman" w:cs="Times New Roman"/>
          <w:sz w:val="24"/>
          <w:szCs w:val="24"/>
        </w:rPr>
        <w:t>)</w:t>
      </w:r>
      <w:r w:rsidR="00F05124" w:rsidRPr="007133B7">
        <w:rPr>
          <w:rFonts w:ascii="Times New Roman" w:hAnsi="Times New Roman" w:cs="Times New Roman"/>
          <w:sz w:val="24"/>
          <w:szCs w:val="24"/>
        </w:rPr>
        <w:t xml:space="preserve">, </w:t>
      </w:r>
      <w:r w:rsidR="00F05124" w:rsidRPr="00F05124">
        <w:rPr>
          <w:rFonts w:ascii="Times New Roman" w:hAnsi="Times New Roman" w:cs="Times New Roman"/>
          <w:sz w:val="24"/>
          <w:szCs w:val="24"/>
        </w:rPr>
        <w:t xml:space="preserve">Japan Aerospace Exploration Agency </w:t>
      </w:r>
      <w:r w:rsidR="00F05124">
        <w:rPr>
          <w:rFonts w:ascii="Times New Roman" w:hAnsi="Times New Roman" w:cs="Times New Roman"/>
          <w:sz w:val="24"/>
          <w:szCs w:val="24"/>
        </w:rPr>
        <w:t>(</w:t>
      </w:r>
      <w:r w:rsidR="00F05124" w:rsidRPr="007133B7">
        <w:rPr>
          <w:rFonts w:ascii="Times New Roman" w:hAnsi="Times New Roman" w:cs="Times New Roman"/>
          <w:sz w:val="24"/>
          <w:szCs w:val="24"/>
        </w:rPr>
        <w:t>JAXA</w:t>
      </w:r>
      <w:r w:rsidR="00F05124">
        <w:rPr>
          <w:rFonts w:ascii="Times New Roman" w:hAnsi="Times New Roman" w:cs="Times New Roman"/>
          <w:sz w:val="24"/>
          <w:szCs w:val="24"/>
        </w:rPr>
        <w:t>)</w:t>
      </w:r>
      <w:r w:rsidR="00F05124" w:rsidRPr="007133B7">
        <w:rPr>
          <w:rFonts w:ascii="Times New Roman" w:hAnsi="Times New Roman" w:cs="Times New Roman"/>
          <w:sz w:val="24"/>
          <w:szCs w:val="24"/>
        </w:rPr>
        <w:t xml:space="preserve">, </w:t>
      </w:r>
      <w:r w:rsidR="00F05124" w:rsidRPr="00F05124">
        <w:rPr>
          <w:rFonts w:ascii="Times New Roman" w:hAnsi="Times New Roman" w:cs="Times New Roman"/>
          <w:sz w:val="24"/>
          <w:szCs w:val="24"/>
        </w:rPr>
        <w:t xml:space="preserve">National Aeronautics and Space Administration </w:t>
      </w:r>
      <w:r w:rsidR="00F05124">
        <w:rPr>
          <w:rFonts w:ascii="Times New Roman" w:hAnsi="Times New Roman" w:cs="Times New Roman"/>
          <w:sz w:val="24"/>
          <w:szCs w:val="24"/>
        </w:rPr>
        <w:t>(</w:t>
      </w:r>
      <w:r w:rsidR="00F05124" w:rsidRPr="007133B7">
        <w:rPr>
          <w:rFonts w:ascii="Times New Roman" w:hAnsi="Times New Roman" w:cs="Times New Roman"/>
          <w:sz w:val="24"/>
          <w:szCs w:val="24"/>
        </w:rPr>
        <w:t>NASA</w:t>
      </w:r>
      <w:r w:rsidR="00F05124">
        <w:rPr>
          <w:rFonts w:ascii="Times New Roman" w:hAnsi="Times New Roman" w:cs="Times New Roman"/>
          <w:sz w:val="24"/>
          <w:szCs w:val="24"/>
        </w:rPr>
        <w:t>)</w:t>
      </w:r>
      <w:r w:rsidR="00F05124" w:rsidRPr="007133B7">
        <w:rPr>
          <w:rFonts w:ascii="Times New Roman" w:hAnsi="Times New Roman" w:cs="Times New Roman"/>
          <w:sz w:val="24"/>
          <w:szCs w:val="24"/>
        </w:rPr>
        <w:t xml:space="preserve">, and </w:t>
      </w:r>
      <w:r w:rsidR="00F05124">
        <w:rPr>
          <w:rFonts w:ascii="Times New Roman" w:hAnsi="Times New Roman" w:cs="Times New Roman"/>
          <w:sz w:val="24"/>
          <w:szCs w:val="24"/>
        </w:rPr>
        <w:t xml:space="preserve">Japan’s </w:t>
      </w:r>
      <w:r w:rsidR="00F05124" w:rsidRPr="00F05124">
        <w:rPr>
          <w:rFonts w:ascii="Times New Roman" w:hAnsi="Times New Roman" w:cs="Times New Roman"/>
          <w:sz w:val="24"/>
          <w:szCs w:val="24"/>
        </w:rPr>
        <w:t xml:space="preserve">National Institute of Information and Communications Technology </w:t>
      </w:r>
      <w:r w:rsidR="00F05124">
        <w:rPr>
          <w:rFonts w:ascii="Times New Roman" w:hAnsi="Times New Roman" w:cs="Times New Roman"/>
          <w:sz w:val="24"/>
          <w:szCs w:val="24"/>
        </w:rPr>
        <w:t>(</w:t>
      </w:r>
      <w:r w:rsidR="00F05124" w:rsidRPr="007133B7">
        <w:rPr>
          <w:rFonts w:ascii="Times New Roman" w:hAnsi="Times New Roman" w:cs="Times New Roman"/>
          <w:sz w:val="24"/>
          <w:szCs w:val="24"/>
        </w:rPr>
        <w:t>NICT</w:t>
      </w:r>
      <w:r w:rsidR="00F05124">
        <w:rPr>
          <w:rFonts w:ascii="Times New Roman" w:hAnsi="Times New Roman" w:cs="Times New Roman"/>
          <w:sz w:val="24"/>
          <w:szCs w:val="24"/>
        </w:rPr>
        <w:t>)</w:t>
      </w:r>
      <w:r w:rsidRPr="007133B7">
        <w:rPr>
          <w:rFonts w:ascii="Times New Roman" w:hAnsi="Times New Roman" w:cs="Times New Roman"/>
          <w:sz w:val="24"/>
          <w:szCs w:val="24"/>
        </w:rPr>
        <w:t xml:space="preserve">, and the team developing that experimental standard briefed its merits to the larger working group. </w:t>
      </w:r>
    </w:p>
    <w:p w14:paraId="0A355824" w14:textId="4DED330A" w:rsidR="007133B7" w:rsidRPr="007133B7" w:rsidRDefault="007133B7" w:rsidP="007133B7">
      <w:pPr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 xml:space="preserve">In the published Blue Books on optical communications, the optical coding and synchronization layers accept fixed-length frames rate-matched to the optical channel.  As shown in Figure 1, this </w:t>
      </w:r>
      <w:r w:rsidR="00B4627D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7133B7">
        <w:rPr>
          <w:rFonts w:ascii="Times New Roman" w:hAnsi="Times New Roman" w:cs="Times New Roman"/>
          <w:sz w:val="24"/>
          <w:szCs w:val="24"/>
        </w:rPr>
        <w:t>works for CCSDS fixed-length transfer frames such as frames from CCSDS</w:t>
      </w:r>
      <w:r w:rsidR="00F05124">
        <w:rPr>
          <w:rFonts w:ascii="Times New Roman" w:hAnsi="Times New Roman" w:cs="Times New Roman"/>
          <w:sz w:val="24"/>
          <w:szCs w:val="24"/>
        </w:rPr>
        <w:t xml:space="preserve"> Telemetry</w:t>
      </w:r>
      <w:r w:rsidRPr="007133B7">
        <w:rPr>
          <w:rFonts w:ascii="Times New Roman" w:hAnsi="Times New Roman" w:cs="Times New Roman"/>
          <w:sz w:val="24"/>
          <w:szCs w:val="24"/>
        </w:rPr>
        <w:t xml:space="preserve"> </w:t>
      </w:r>
      <w:r w:rsidR="00F05124">
        <w:rPr>
          <w:rFonts w:ascii="Times New Roman" w:hAnsi="Times New Roman" w:cs="Times New Roman"/>
          <w:sz w:val="24"/>
          <w:szCs w:val="24"/>
        </w:rPr>
        <w:t>(</w:t>
      </w:r>
      <w:r w:rsidRPr="007133B7">
        <w:rPr>
          <w:rFonts w:ascii="Times New Roman" w:hAnsi="Times New Roman" w:cs="Times New Roman"/>
          <w:sz w:val="24"/>
          <w:szCs w:val="24"/>
        </w:rPr>
        <w:t>TM</w:t>
      </w:r>
      <w:r w:rsidR="00F05124">
        <w:rPr>
          <w:rFonts w:ascii="Times New Roman" w:hAnsi="Times New Roman" w:cs="Times New Roman"/>
          <w:sz w:val="24"/>
          <w:szCs w:val="24"/>
        </w:rPr>
        <w:t>)</w:t>
      </w:r>
      <w:r w:rsidRPr="007133B7">
        <w:rPr>
          <w:rFonts w:ascii="Times New Roman" w:hAnsi="Times New Roman" w:cs="Times New Roman"/>
          <w:sz w:val="24"/>
          <w:szCs w:val="24"/>
        </w:rPr>
        <w:t xml:space="preserve"> or from the CCSDS Advanced Orbiting Systems (AOS) protocol</w:t>
      </w:r>
      <w:r w:rsidR="00F05124">
        <w:rPr>
          <w:rFonts w:ascii="Times New Roman" w:hAnsi="Times New Roman" w:cs="Times New Roman"/>
          <w:sz w:val="24"/>
          <w:szCs w:val="24"/>
        </w:rPr>
        <w:t>s</w:t>
      </w:r>
      <w:r w:rsidRPr="007133B7">
        <w:rPr>
          <w:rFonts w:ascii="Times New Roman" w:hAnsi="Times New Roman" w:cs="Times New Roman"/>
          <w:sz w:val="24"/>
          <w:szCs w:val="24"/>
        </w:rPr>
        <w:t xml:space="preserve">.  This approach also works well for fixed-length frames from the CCSDS Universal Space Link Protocol (USLP).  However, this </w:t>
      </w:r>
      <w:r w:rsidR="00F05124">
        <w:rPr>
          <w:rFonts w:ascii="Times New Roman" w:hAnsi="Times New Roman" w:cs="Times New Roman"/>
          <w:sz w:val="24"/>
          <w:szCs w:val="24"/>
        </w:rPr>
        <w:t xml:space="preserve">method </w:t>
      </w:r>
      <w:r w:rsidRPr="007133B7">
        <w:rPr>
          <w:rFonts w:ascii="Times New Roman" w:hAnsi="Times New Roman" w:cs="Times New Roman"/>
          <w:sz w:val="24"/>
          <w:szCs w:val="24"/>
        </w:rPr>
        <w:t xml:space="preserve">does not work for </w:t>
      </w:r>
      <w:r w:rsidR="00F05124">
        <w:rPr>
          <w:rFonts w:ascii="Times New Roman" w:hAnsi="Times New Roman" w:cs="Times New Roman"/>
          <w:sz w:val="24"/>
          <w:szCs w:val="24"/>
        </w:rPr>
        <w:t>v</w:t>
      </w:r>
      <w:r w:rsidRPr="007133B7">
        <w:rPr>
          <w:rFonts w:ascii="Times New Roman" w:hAnsi="Times New Roman" w:cs="Times New Roman"/>
          <w:sz w:val="24"/>
          <w:szCs w:val="24"/>
        </w:rPr>
        <w:t xml:space="preserve">ariable </w:t>
      </w:r>
      <w:r w:rsidR="00F05124">
        <w:rPr>
          <w:rFonts w:ascii="Times New Roman" w:hAnsi="Times New Roman" w:cs="Times New Roman"/>
          <w:sz w:val="24"/>
          <w:szCs w:val="24"/>
        </w:rPr>
        <w:t>l</w:t>
      </w:r>
      <w:r w:rsidRPr="007133B7">
        <w:rPr>
          <w:rFonts w:ascii="Times New Roman" w:hAnsi="Times New Roman" w:cs="Times New Roman"/>
          <w:sz w:val="24"/>
          <w:szCs w:val="24"/>
        </w:rPr>
        <w:t>ength USLP or for directly accepting Ethernet frames without encapsulation; directly accepting Ethernet frames has been mentioned by several industry participants in the working group as a cost-effective approach to meeting the needs of their customers.</w:t>
      </w:r>
    </w:p>
    <w:p w14:paraId="3B830D7B" w14:textId="77777777" w:rsidR="007133B7" w:rsidRDefault="007133B7" w:rsidP="007133B7">
      <w:r>
        <w:rPr>
          <w:noProof/>
        </w:rPr>
        <w:drawing>
          <wp:inline distT="0" distB="0" distL="0" distR="0" wp14:anchorId="1B6FA521" wp14:editId="251EA141">
            <wp:extent cx="5638800" cy="2082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26" cy="210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90E90" w14:textId="77777777" w:rsidR="007133B7" w:rsidRDefault="007133B7" w:rsidP="007133B7"/>
    <w:p w14:paraId="49A06CD9" w14:textId="77777777" w:rsidR="007133B7" w:rsidRPr="007133B7" w:rsidRDefault="007133B7" w:rsidP="007133B7">
      <w:pPr>
        <w:pStyle w:val="Caption"/>
        <w:jc w:val="center"/>
        <w:rPr>
          <w:color w:val="000000"/>
          <w:sz w:val="24"/>
          <w:szCs w:val="24"/>
        </w:rPr>
      </w:pPr>
      <w:r w:rsidRPr="007133B7">
        <w:rPr>
          <w:color w:val="000000"/>
          <w:sz w:val="24"/>
          <w:szCs w:val="24"/>
        </w:rPr>
        <w:lastRenderedPageBreak/>
        <w:t>Figure 1:  Frame transfer services provided by the currently published CCSDS Optical Communications Recommendations</w:t>
      </w:r>
    </w:p>
    <w:p w14:paraId="2A7CA610" w14:textId="77777777" w:rsidR="007133B7" w:rsidRPr="007133B7" w:rsidRDefault="007133B7" w:rsidP="007133B7">
      <w:pPr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>A GFP frame consists of a core header, a payload header, an optional extension header, a GFP payload, and an optional payload frame check sequence.</w:t>
      </w:r>
    </w:p>
    <w:p w14:paraId="0AFB7681" w14:textId="5802DFB1" w:rsidR="007133B7" w:rsidRPr="007133B7" w:rsidRDefault="007133B7" w:rsidP="007133B7">
      <w:pPr>
        <w:rPr>
          <w:rFonts w:ascii="Times New Roman" w:hAnsi="Times New Roman" w:cs="Times New Roman"/>
          <w:sz w:val="24"/>
          <w:szCs w:val="24"/>
        </w:rPr>
      </w:pPr>
      <w:r w:rsidRPr="007133B7">
        <w:rPr>
          <w:rFonts w:ascii="Times New Roman" w:hAnsi="Times New Roman" w:cs="Times New Roman"/>
          <w:sz w:val="24"/>
          <w:szCs w:val="24"/>
        </w:rPr>
        <w:t xml:space="preserve">Most of the working group members believe strongly that CCSDS </w:t>
      </w:r>
      <w:r>
        <w:rPr>
          <w:rFonts w:ascii="Times New Roman" w:hAnsi="Times New Roman" w:cs="Times New Roman"/>
          <w:sz w:val="24"/>
          <w:szCs w:val="24"/>
        </w:rPr>
        <w:t xml:space="preserve">optical communications </w:t>
      </w:r>
      <w:r w:rsidRPr="007133B7">
        <w:rPr>
          <w:rFonts w:ascii="Times New Roman" w:hAnsi="Times New Roman" w:cs="Times New Roman"/>
          <w:sz w:val="24"/>
          <w:szCs w:val="24"/>
        </w:rPr>
        <w:t xml:space="preserve">signaling recommendations would be more widely applicable if they accepted variable-rate variable-length frames at the input to the coding and synchronization layer.  This </w:t>
      </w:r>
      <w:r w:rsidR="00F05124">
        <w:rPr>
          <w:rFonts w:ascii="Times New Roman" w:hAnsi="Times New Roman" w:cs="Times New Roman"/>
          <w:sz w:val="24"/>
          <w:szCs w:val="24"/>
        </w:rPr>
        <w:t xml:space="preserve">scenario </w:t>
      </w:r>
      <w:r w:rsidRPr="007133B7">
        <w:rPr>
          <w:rFonts w:ascii="Times New Roman" w:hAnsi="Times New Roman" w:cs="Times New Roman"/>
          <w:sz w:val="24"/>
          <w:szCs w:val="24"/>
        </w:rPr>
        <w:t>could easily be accomplished by using Generic Framing Procedure to adapt higher-layer frame formats to the fixed-rate octet transport service</w:t>
      </w:r>
      <w:r w:rsidR="00F05124">
        <w:rPr>
          <w:rFonts w:ascii="Times New Roman" w:hAnsi="Times New Roman" w:cs="Times New Roman"/>
          <w:sz w:val="24"/>
          <w:szCs w:val="24"/>
        </w:rPr>
        <w:t>, which</w:t>
      </w:r>
      <w:r w:rsidRPr="007133B7">
        <w:rPr>
          <w:rFonts w:ascii="Times New Roman" w:hAnsi="Times New Roman" w:cs="Times New Roman"/>
          <w:sz w:val="24"/>
          <w:szCs w:val="24"/>
        </w:rPr>
        <w:t xml:space="preserve"> is why </w:t>
      </w:r>
      <w:r w:rsidR="00F05124">
        <w:rPr>
          <w:rFonts w:ascii="Times New Roman" w:hAnsi="Times New Roman" w:cs="Times New Roman"/>
          <w:sz w:val="24"/>
          <w:szCs w:val="24"/>
        </w:rPr>
        <w:t>GFP</w:t>
      </w:r>
      <w:r w:rsidR="00F05124" w:rsidRPr="007133B7">
        <w:rPr>
          <w:rFonts w:ascii="Times New Roman" w:hAnsi="Times New Roman" w:cs="Times New Roman"/>
          <w:sz w:val="24"/>
          <w:szCs w:val="24"/>
        </w:rPr>
        <w:t xml:space="preserve"> </w:t>
      </w:r>
      <w:r w:rsidRPr="007133B7">
        <w:rPr>
          <w:rFonts w:ascii="Times New Roman" w:hAnsi="Times New Roman" w:cs="Times New Roman"/>
          <w:sz w:val="24"/>
          <w:szCs w:val="24"/>
        </w:rPr>
        <w:t xml:space="preserve">is being used in the CNES, JAXA, NASA, NICT Orange Book previously mentioned.  GFP is now being investigated by more working group members because it is a widely adopted industry standard for terrestrial optical </w:t>
      </w:r>
      <w:r w:rsidR="00F05124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7133B7">
        <w:rPr>
          <w:rFonts w:ascii="Times New Roman" w:hAnsi="Times New Roman" w:cs="Times New Roman"/>
          <w:sz w:val="24"/>
          <w:szCs w:val="24"/>
        </w:rPr>
        <w:t>systems and it supports many com</w:t>
      </w:r>
      <w:r>
        <w:rPr>
          <w:rFonts w:ascii="Times New Roman" w:hAnsi="Times New Roman" w:cs="Times New Roman"/>
          <w:sz w:val="24"/>
          <w:szCs w:val="24"/>
        </w:rPr>
        <w:t>mon client interfaces.  Figure 2</w:t>
      </w:r>
      <w:r w:rsidRPr="007133B7">
        <w:rPr>
          <w:rFonts w:ascii="Times New Roman" w:hAnsi="Times New Roman" w:cs="Times New Roman"/>
          <w:sz w:val="24"/>
          <w:szCs w:val="24"/>
        </w:rPr>
        <w:t xml:space="preserve"> shows how GFP could be used in the CCSDS recommendations already published.</w:t>
      </w:r>
    </w:p>
    <w:p w14:paraId="6BFDD94D" w14:textId="77777777" w:rsidR="007133B7" w:rsidRDefault="007133B7" w:rsidP="007133B7"/>
    <w:p w14:paraId="04863FC9" w14:textId="77777777" w:rsidR="007133B7" w:rsidRDefault="007133B7" w:rsidP="007133B7">
      <w:pPr>
        <w:jc w:val="center"/>
      </w:pPr>
      <w:r>
        <w:rPr>
          <w:noProof/>
        </w:rPr>
        <w:drawing>
          <wp:inline distT="0" distB="0" distL="0" distR="0" wp14:anchorId="231D1248" wp14:editId="2D531B90">
            <wp:extent cx="4745320" cy="347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58" cy="3496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9A935" w14:textId="77777777" w:rsidR="007133B7" w:rsidRPr="007133B7" w:rsidRDefault="007133B7" w:rsidP="007133B7">
      <w:pPr>
        <w:pStyle w:val="Caption"/>
        <w:jc w:val="center"/>
        <w:rPr>
          <w:color w:val="000000"/>
          <w:sz w:val="24"/>
          <w:szCs w:val="24"/>
        </w:rPr>
      </w:pPr>
      <w:r w:rsidRPr="007133B7">
        <w:rPr>
          <w:color w:val="000000"/>
          <w:sz w:val="24"/>
          <w:szCs w:val="24"/>
        </w:rPr>
        <w:t>Figure</w:t>
      </w:r>
      <w:r>
        <w:rPr>
          <w:color w:val="000000"/>
          <w:sz w:val="24"/>
          <w:szCs w:val="24"/>
        </w:rPr>
        <w:t xml:space="preserve"> 2</w:t>
      </w:r>
      <w:r w:rsidRPr="007133B7">
        <w:rPr>
          <w:color w:val="000000"/>
          <w:sz w:val="24"/>
          <w:szCs w:val="24"/>
        </w:rPr>
        <w:t>:  Proposal for Generic Frame Transport</w:t>
      </w:r>
    </w:p>
    <w:p w14:paraId="7DED3004" w14:textId="77777777" w:rsidR="00295861" w:rsidRPr="001977AD" w:rsidRDefault="00BA35F9" w:rsidP="00295861">
      <w:pPr>
        <w:rPr>
          <w:rFonts w:ascii="Times New Roman" w:eastAsia="Times New Roman" w:hAnsi="Times New Roman" w:cs="Times New Roman"/>
          <w:sz w:val="28"/>
          <w:szCs w:val="28"/>
        </w:rPr>
      </w:pPr>
      <w:r w:rsidRPr="0048081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295861" w:rsidRPr="001977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SECTION </w:t>
      </w:r>
      <w:r w:rsidR="00F65720">
        <w:rPr>
          <w:rFonts w:ascii="Times New Roman" w:eastAsia="Times New Roman" w:hAnsi="Times New Roman" w:cs="Times New Roman"/>
          <w:b/>
          <w:sz w:val="28"/>
          <w:szCs w:val="28"/>
        </w:rPr>
        <w:t xml:space="preserve">2: </w:t>
      </w:r>
      <w:r w:rsidR="00295861" w:rsidRPr="001977AD">
        <w:rPr>
          <w:rFonts w:ascii="Times New Roman" w:eastAsia="Times New Roman" w:hAnsi="Times New Roman" w:cs="Times New Roman"/>
          <w:b/>
          <w:sz w:val="28"/>
          <w:szCs w:val="28"/>
        </w:rPr>
        <w:t xml:space="preserve">  Tentative Work Plan</w:t>
      </w:r>
    </w:p>
    <w:p w14:paraId="0F57FA86" w14:textId="77777777" w:rsidR="00295861" w:rsidRPr="0048081A" w:rsidRDefault="00295861" w:rsidP="00143B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329DE7" w14:textId="77777777" w:rsidR="00B226A4" w:rsidRDefault="00ED15A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tentative </w:t>
      </w:r>
      <w:r w:rsidR="007133B7" w:rsidRPr="0048081A">
        <w:rPr>
          <w:rFonts w:ascii="Times New Roman" w:eastAsia="Times New Roman" w:hAnsi="Times New Roman" w:cs="Times New Roman"/>
          <w:bCs/>
          <w:sz w:val="24"/>
          <w:szCs w:val="24"/>
        </w:rPr>
        <w:t>work plan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 xml:space="preserve"> is established. </w:t>
      </w:r>
    </w:p>
    <w:p w14:paraId="59E07BBC" w14:textId="77777777" w:rsidR="00744628" w:rsidRPr="00A01419" w:rsidRDefault="007133B7" w:rsidP="00A014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CCSDS Optical Communications Working Group members have reached consensus to start a new project to incorporate GFP into the existing Optical Communications 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Coding &amp; Synchronization Layer Blue Book.  </w:t>
      </w:r>
      <w:r w:rsidRPr="00A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Specifically, the </w:t>
      </w:r>
      <w:r w:rsidR="00A01419" w:rsidRPr="00A01419">
        <w:rPr>
          <w:rFonts w:ascii="Times New Roman" w:eastAsia="Times New Roman" w:hAnsi="Times New Roman" w:cs="Times New Roman"/>
          <w:bCs/>
          <w:sz w:val="24"/>
          <w:szCs w:val="24"/>
        </w:rPr>
        <w:t>working group members would like to see GFP incorporated in the High Photon Efficiency (HPE) chapter o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>f the book</w:t>
      </w:r>
      <w:r w:rsidR="00A01419" w:rsidRPr="00A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 via pink sheets.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890"/>
        <w:gridCol w:w="983"/>
        <w:gridCol w:w="1087"/>
      </w:tblGrid>
      <w:tr w:rsidR="00275523" w:rsidRPr="0048081A" w14:paraId="43DA1DE0" w14:textId="77777777" w:rsidTr="00A01419">
        <w:tc>
          <w:tcPr>
            <w:tcW w:w="390" w:type="dxa"/>
          </w:tcPr>
          <w:p w14:paraId="13F7CCD1" w14:textId="77777777" w:rsidR="00275523" w:rsidRPr="0048081A" w:rsidRDefault="002755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0" w:type="dxa"/>
          </w:tcPr>
          <w:p w14:paraId="24792886" w14:textId="77777777" w:rsidR="00275523" w:rsidRPr="0048081A" w:rsidRDefault="002755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71451CE" w14:textId="77777777" w:rsidR="00275523" w:rsidRPr="0048081A" w:rsidRDefault="00275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087" w:type="dxa"/>
          </w:tcPr>
          <w:p w14:paraId="41931D5C" w14:textId="77777777" w:rsidR="00275523" w:rsidRPr="0048081A" w:rsidRDefault="00275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</w:tr>
      <w:tr w:rsidR="00275523" w:rsidRPr="0048081A" w14:paraId="32AFF4FF" w14:textId="77777777" w:rsidTr="00A01419">
        <w:tc>
          <w:tcPr>
            <w:tcW w:w="390" w:type="dxa"/>
          </w:tcPr>
          <w:p w14:paraId="21B8F0D8" w14:textId="77777777" w:rsidR="00275523" w:rsidRPr="0048081A" w:rsidRDefault="002755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14:paraId="4EFC5979" w14:textId="77777777" w:rsidR="00275523" w:rsidRPr="0048081A" w:rsidRDefault="00A014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Generic Framing Procedure (GFP) for High Photon Efficiency (HPE) chapter within the Optical Communications Coding &amp; Synchronization Blue Book</w:t>
            </w:r>
          </w:p>
        </w:tc>
        <w:tc>
          <w:tcPr>
            <w:tcW w:w="983" w:type="dxa"/>
          </w:tcPr>
          <w:p w14:paraId="420149FA" w14:textId="77777777" w:rsidR="00275523" w:rsidRPr="0048081A" w:rsidRDefault="00A014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 20</w:t>
            </w:r>
          </w:p>
        </w:tc>
        <w:tc>
          <w:tcPr>
            <w:tcW w:w="1087" w:type="dxa"/>
          </w:tcPr>
          <w:p w14:paraId="467FDF8D" w14:textId="77777777" w:rsidR="00275523" w:rsidRPr="0048081A" w:rsidRDefault="005959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June</w:t>
            </w:r>
            <w:r w:rsidR="008A1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21</w:t>
            </w:r>
          </w:p>
        </w:tc>
      </w:tr>
    </w:tbl>
    <w:p w14:paraId="2356AD23" w14:textId="77777777" w:rsidR="00B226A4" w:rsidRDefault="00B226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CCAAA" w14:textId="014C7713" w:rsidR="00275523" w:rsidRDefault="00F051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</w:t>
      </w:r>
      <w:r w:rsidR="00B22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bove </w:t>
      </w:r>
      <w:r w:rsidR="00A01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dates </w:t>
      </w:r>
      <w:r w:rsidR="00B226A4" w:rsidRPr="00B22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be refined by the </w:t>
      </w:r>
      <w:r w:rsidR="004170D5">
        <w:rPr>
          <w:rFonts w:ascii="Times New Roman" w:eastAsia="Times New Roman" w:hAnsi="Times New Roman" w:cs="Times New Roman"/>
          <w:b/>
          <w:bCs/>
          <w:sz w:val="24"/>
          <w:szCs w:val="24"/>
        </w:rPr>
        <w:t>working group (</w:t>
      </w:r>
      <w:r w:rsidR="00B226A4" w:rsidRPr="00B226A4">
        <w:rPr>
          <w:rFonts w:ascii="Times New Roman" w:eastAsia="Times New Roman" w:hAnsi="Times New Roman" w:cs="Times New Roman"/>
          <w:b/>
          <w:bCs/>
          <w:sz w:val="24"/>
          <w:szCs w:val="24"/>
        </w:rPr>
        <w:t>WG</w:t>
      </w:r>
      <w:r w:rsidR="004170D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226A4" w:rsidRPr="00B22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according to work progress.</w:t>
      </w:r>
    </w:p>
    <w:p w14:paraId="6A37C960" w14:textId="77777777" w:rsidR="005F2C06" w:rsidRPr="00E33621" w:rsidRDefault="00E3362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62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CCSDS Optical Communications Working Group recognizes that it will have to work with the other working groups within the Space Link Services Area of CCSDS.  </w:t>
      </w:r>
      <w:r w:rsidR="00595985" w:rsidRPr="00E33621">
        <w:rPr>
          <w:rFonts w:ascii="Times New Roman" w:eastAsia="Times New Roman" w:hAnsi="Times New Roman" w:cs="Times New Roman"/>
          <w:bCs/>
          <w:sz w:val="24"/>
          <w:szCs w:val="24"/>
        </w:rPr>
        <w:t>Specifically</w:t>
      </w:r>
      <w:r w:rsidRPr="00E33621">
        <w:rPr>
          <w:rFonts w:ascii="Times New Roman" w:eastAsia="Times New Roman" w:hAnsi="Times New Roman" w:cs="Times New Roman"/>
          <w:bCs/>
          <w:sz w:val="24"/>
          <w:szCs w:val="24"/>
        </w:rPr>
        <w:t>, the working group will hold joint meetings with the Space Link Coding and Synchronization Working Group (SLS-C&amp;S) and the Space Link Protocols Working Group (SLS-SLP).  The plan is to hold several joint telecons among the working groups and to hold a joint session at the Spring 2020 Technical Meeting and at the Fall 2020 CCSDS Technical Meeting.</w:t>
      </w:r>
    </w:p>
    <w:p w14:paraId="79355E1C" w14:textId="77777777" w:rsidR="005F2C06" w:rsidRDefault="005F2C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684A24" w14:textId="77777777" w:rsidR="005F2C06" w:rsidRDefault="005F2C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10532" w14:textId="77777777" w:rsidR="00B226A4" w:rsidRPr="0048081A" w:rsidRDefault="00B226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118E4" w14:textId="77777777" w:rsidR="00275523" w:rsidRPr="0048081A" w:rsidRDefault="002755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B04D8D6" w14:textId="77777777" w:rsidR="00295861" w:rsidRPr="0048081A" w:rsidRDefault="002958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F8D3F" w14:textId="77777777" w:rsidR="00690A17" w:rsidRPr="00BF2EAD" w:rsidRDefault="00A01419" w:rsidP="00BF2EA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ANNEX A</w:t>
      </w:r>
    </w:p>
    <w:p w14:paraId="7DDA54F8" w14:textId="77777777" w:rsidR="001977AD" w:rsidRPr="001977AD" w:rsidRDefault="001977AD" w:rsidP="001977A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77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CCSDS Optical Communications </w:t>
      </w:r>
      <w:r w:rsidR="005160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(OPT) </w:t>
      </w:r>
      <w:r w:rsidRPr="001977AD">
        <w:rPr>
          <w:rFonts w:ascii="Times New Roman" w:eastAsia="Times New Roman" w:hAnsi="Times New Roman" w:cs="Times New Roman"/>
          <w:b/>
          <w:bCs/>
          <w:sz w:val="32"/>
          <w:szCs w:val="32"/>
        </w:rPr>
        <w:t>Working Group</w:t>
      </w:r>
    </w:p>
    <w:p w14:paraId="3BFA98F1" w14:textId="77777777" w:rsidR="00690A17" w:rsidRPr="001977AD" w:rsidRDefault="00A01419" w:rsidP="00690A17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Generic Framing Procedure (GFP) Project</w:t>
      </w:r>
    </w:p>
    <w:p w14:paraId="17CA304B" w14:textId="77777777" w:rsidR="00690A17" w:rsidRPr="0048081A" w:rsidRDefault="00690A17" w:rsidP="00B17389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5F73" w14:textId="77777777" w:rsidR="00C233D8" w:rsidRPr="001977AD" w:rsidRDefault="00C233D8" w:rsidP="00C233D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7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</w:t>
      </w:r>
      <w:r w:rsidR="00A01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Pink Sheets for the High Photon Efficiency Chapter of the Optical Communications Coding and Synchronization </w:t>
      </w:r>
      <w:r w:rsidRPr="001977AD">
        <w:rPr>
          <w:rFonts w:ascii="Times New Roman" w:eastAsia="Times New Roman" w:hAnsi="Times New Roman" w:cs="Times New Roman"/>
          <w:b/>
          <w:bCs/>
          <w:sz w:val="28"/>
          <w:szCs w:val="28"/>
        </w:rPr>
        <w:t>Layer</w:t>
      </w:r>
      <w:r w:rsidR="00A01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Blue Book</w:t>
      </w:r>
    </w:p>
    <w:p w14:paraId="43798D14" w14:textId="77777777" w:rsidR="00C233D8" w:rsidRPr="0048081A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 </w:t>
      </w:r>
      <w:r w:rsidR="00A01419">
        <w:rPr>
          <w:rFonts w:ascii="Times New Roman" w:eastAsia="Times New Roman" w:hAnsi="Times New Roman" w:cs="Times New Roman"/>
          <w:b/>
          <w:sz w:val="24"/>
          <w:szCs w:val="24"/>
        </w:rPr>
        <w:t>Optical Communications Coding &amp; Synchronization</w:t>
      </w:r>
      <w:r w:rsidR="00A01419" w:rsidRPr="001977AD">
        <w:rPr>
          <w:rFonts w:ascii="Times New Roman" w:eastAsia="Times New Roman" w:hAnsi="Times New Roman" w:cs="Times New Roman"/>
          <w:b/>
          <w:sz w:val="24"/>
          <w:szCs w:val="24"/>
        </w:rPr>
        <w:t xml:space="preserve"> Layer</w:t>
      </w:r>
    </w:p>
    <w:p w14:paraId="29260AFD" w14:textId="77777777" w:rsidR="00A01419" w:rsidRDefault="00C233D8" w:rsidP="00A01419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Type:  </w:t>
      </w:r>
      <w:r w:rsidRPr="0048081A">
        <w:rPr>
          <w:rFonts w:ascii="Times New Roman" w:eastAsia="Times New Roman" w:hAnsi="Times New Roman" w:cs="Times New Roman"/>
          <w:sz w:val="24"/>
          <w:szCs w:val="24"/>
        </w:rPr>
        <w:t>Blue Book</w:t>
      </w:r>
    </w:p>
    <w:p w14:paraId="338053C4" w14:textId="7305FB7C" w:rsidR="00A01419" w:rsidRDefault="00A01419" w:rsidP="00A01419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1419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Existing </w:t>
      </w:r>
      <w:r w:rsidRPr="00A01419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Blue Book 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 the coding, synchronization, interleaving parameters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 and techniques required for interoperability of </w:t>
      </w:r>
      <w:r w:rsidR="00D979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ptical </w:t>
      </w:r>
      <w:r w:rsidR="00D9791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ommunications </w:t>
      </w:r>
      <w:r w:rsidR="00D979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pace-Earth and space-space links. </w:t>
      </w:r>
    </w:p>
    <w:p w14:paraId="5D1A6775" w14:textId="77777777" w:rsidR="00A01419" w:rsidRPr="00A01419" w:rsidRDefault="00A01419" w:rsidP="00A01419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Material to be included via Pink Sheets: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1419">
        <w:rPr>
          <w:rFonts w:ascii="Times New Roman" w:eastAsia="Times New Roman" w:hAnsi="Times New Roman" w:cs="Times New Roman"/>
          <w:sz w:val="24"/>
          <w:szCs w:val="24"/>
        </w:rPr>
        <w:t xml:space="preserve">he use of Generic Framing Procedure (GFP), a frame encapsulation technique defined by the International Telecommunications Union (ITU) G.7041/Y.1303 standard.  </w:t>
      </w:r>
    </w:p>
    <w:p w14:paraId="58FFEADD" w14:textId="77777777" w:rsidR="00C233D8" w:rsidRPr="006D2E23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Applicable Patents:  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6CE207AF" w14:textId="77777777" w:rsidR="00C233D8" w:rsidRPr="006D2E23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Patents Comments:  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364DB7E4" w14:textId="77777777" w:rsidR="00C233D8" w:rsidRPr="006D2E23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Book Editor (estimated resources + Agency Volunteering): 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>2nn NASA</w:t>
      </w:r>
    </w:p>
    <w:p w14:paraId="5E946E48" w14:textId="77777777" w:rsidR="00C233D8" w:rsidRPr="006D2E23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Prototype </w:t>
      </w:r>
      <w:proofErr w:type="gramStart"/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>1  (</w:t>
      </w:r>
      <w:proofErr w:type="gramEnd"/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estimated resources + Agency Volunteering): 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D2E23">
        <w:rPr>
          <w:rFonts w:ascii="Times New Roman" w:eastAsia="Times New Roman" w:hAnsi="Times New Roman" w:cs="Times New Roman"/>
          <w:bCs/>
          <w:sz w:val="24"/>
          <w:szCs w:val="24"/>
        </w:rPr>
        <w:t>mm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 xml:space="preserve"> NASA</w:t>
      </w:r>
    </w:p>
    <w:p w14:paraId="7F57B2CB" w14:textId="77777777" w:rsidR="00923EFC" w:rsidRPr="0048081A" w:rsidRDefault="00C233D8" w:rsidP="00A01419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Prototype </w:t>
      </w:r>
      <w:proofErr w:type="gramStart"/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>2  (</w:t>
      </w:r>
      <w:proofErr w:type="gramEnd"/>
      <w:r w:rsidRPr="006D2E23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480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imated resources + Agency Volunteering): </w:t>
      </w:r>
      <w:r w:rsidR="00A01419">
        <w:rPr>
          <w:rFonts w:ascii="Times New Roman" w:eastAsia="Times New Roman" w:hAnsi="Times New Roman" w:cs="Times New Roman"/>
          <w:bCs/>
          <w:sz w:val="24"/>
          <w:szCs w:val="24"/>
        </w:rPr>
        <w:t>1mm TBD</w:t>
      </w:r>
    </w:p>
    <w:p w14:paraId="62731280" w14:textId="77777777" w:rsidR="00C233D8" w:rsidRPr="0048081A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Expected Contributing Agencies:  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 xml:space="preserve">CNES, </w:t>
      </w:r>
      <w:proofErr w:type="spellStart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>Deutsches</w:t>
      </w:r>
      <w:proofErr w:type="spellEnd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>Zentrum</w:t>
      </w:r>
      <w:proofErr w:type="spellEnd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>für</w:t>
      </w:r>
      <w:proofErr w:type="spellEnd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>Luft</w:t>
      </w:r>
      <w:proofErr w:type="spellEnd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 xml:space="preserve">- und </w:t>
      </w:r>
      <w:proofErr w:type="spellStart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>Raumfahrt</w:t>
      </w:r>
      <w:proofErr w:type="spellEnd"/>
      <w:r w:rsidR="00B46EC8" w:rsidRPr="00B46E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6EC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>DLR</w:t>
      </w:r>
      <w:r w:rsidR="00B46E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46EC8">
        <w:rPr>
          <w:rFonts w:ascii="Times New Roman" w:eastAsia="Times New Roman" w:hAnsi="Times New Roman" w:cs="Times New Roman"/>
          <w:bCs/>
          <w:sz w:val="24"/>
          <w:szCs w:val="24"/>
        </w:rPr>
        <w:t>European Space Agency (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>ESA</w:t>
      </w:r>
      <w:r w:rsidR="00B46E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8081A">
        <w:rPr>
          <w:rFonts w:ascii="Times New Roman" w:eastAsia="Times New Roman" w:hAnsi="Times New Roman" w:cs="Times New Roman"/>
          <w:bCs/>
          <w:sz w:val="24"/>
          <w:szCs w:val="24"/>
        </w:rPr>
        <w:t>, JAXA, NASA, NICT</w:t>
      </w:r>
    </w:p>
    <w:p w14:paraId="7399A2F8" w14:textId="77777777" w:rsidR="00C233D8" w:rsidRPr="0048081A" w:rsidRDefault="00C233D8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81A">
        <w:rPr>
          <w:rFonts w:ascii="Times New Roman" w:eastAsia="Times New Roman" w:hAnsi="Times New Roman" w:cs="Times New Roman"/>
          <w:b/>
          <w:bCs/>
          <w:sz w:val="24"/>
          <w:szCs w:val="24"/>
        </w:rPr>
        <w:t>Expected Monitoring Agencies:</w:t>
      </w:r>
    </w:p>
    <w:p w14:paraId="680E0891" w14:textId="77777777" w:rsidR="00C233D8" w:rsidRDefault="00595985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Schedule: Jan 2020 – June 2021</w:t>
      </w:r>
    </w:p>
    <w:p w14:paraId="7D6B81E8" w14:textId="77777777" w:rsidR="002E23DF" w:rsidRDefault="002E23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20639C51" w14:textId="77777777" w:rsidR="002E23DF" w:rsidRDefault="002E23DF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1990"/>
        <w:gridCol w:w="3133"/>
      </w:tblGrid>
      <w:tr w:rsidR="002E23DF" w:rsidRPr="00776609" w14:paraId="72629CE0" w14:textId="77777777" w:rsidTr="008A1ED5">
        <w:tc>
          <w:tcPr>
            <w:tcW w:w="4227" w:type="dxa"/>
          </w:tcPr>
          <w:p w14:paraId="28708CCB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Schedule Milestones</w:t>
            </w:r>
          </w:p>
        </w:tc>
        <w:tc>
          <w:tcPr>
            <w:tcW w:w="1990" w:type="dxa"/>
          </w:tcPr>
          <w:p w14:paraId="00D61886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Forecast</w:t>
            </w:r>
          </w:p>
        </w:tc>
        <w:tc>
          <w:tcPr>
            <w:tcW w:w="3133" w:type="dxa"/>
          </w:tcPr>
          <w:p w14:paraId="307778D0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Comments</w:t>
            </w:r>
          </w:p>
        </w:tc>
      </w:tr>
      <w:tr w:rsidR="002E23DF" w14:paraId="69D1132A" w14:textId="77777777" w:rsidTr="008A1ED5">
        <w:tc>
          <w:tcPr>
            <w:tcW w:w="4227" w:type="dxa"/>
          </w:tcPr>
          <w:p w14:paraId="4C29367F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Project Approved</w:t>
            </w:r>
          </w:p>
        </w:tc>
        <w:tc>
          <w:tcPr>
            <w:tcW w:w="1990" w:type="dxa"/>
          </w:tcPr>
          <w:p w14:paraId="641C84C5" w14:textId="77777777" w:rsidR="002E23DF" w:rsidRDefault="00A01419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 Jan 2020</w:t>
            </w:r>
          </w:p>
        </w:tc>
        <w:tc>
          <w:tcPr>
            <w:tcW w:w="3133" w:type="dxa"/>
          </w:tcPr>
          <w:p w14:paraId="351E6337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2E23DF" w14:paraId="678C376A" w14:textId="77777777" w:rsidTr="008A1ED5">
        <w:tc>
          <w:tcPr>
            <w:tcW w:w="9350" w:type="dxa"/>
            <w:gridSpan w:val="3"/>
          </w:tcPr>
          <w:p w14:paraId="14D91877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Internal WG Review</w:t>
            </w:r>
          </w:p>
        </w:tc>
      </w:tr>
      <w:tr w:rsidR="002E23DF" w14:paraId="4B15A3B6" w14:textId="77777777" w:rsidTr="008A1ED5">
        <w:tc>
          <w:tcPr>
            <w:tcW w:w="4227" w:type="dxa"/>
          </w:tcPr>
          <w:p w14:paraId="0936C177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First draft circulated to WG</w:t>
            </w:r>
          </w:p>
        </w:tc>
        <w:tc>
          <w:tcPr>
            <w:tcW w:w="1990" w:type="dxa"/>
          </w:tcPr>
          <w:p w14:paraId="14A8B18C" w14:textId="77777777" w:rsidR="002E23DF" w:rsidRDefault="00A01419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 May 2020</w:t>
            </w:r>
          </w:p>
        </w:tc>
        <w:tc>
          <w:tcPr>
            <w:tcW w:w="3133" w:type="dxa"/>
          </w:tcPr>
          <w:p w14:paraId="26B00DFE" w14:textId="77777777" w:rsidR="002E23DF" w:rsidRDefault="00A01419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After Spring 2020</w:t>
            </w:r>
            <w:r w:rsidR="002E23D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Meeting</w:t>
            </w:r>
          </w:p>
        </w:tc>
      </w:tr>
      <w:tr w:rsidR="002E23DF" w14:paraId="00C5DF54" w14:textId="77777777" w:rsidTr="008A1ED5">
        <w:tc>
          <w:tcPr>
            <w:tcW w:w="4227" w:type="dxa"/>
          </w:tcPr>
          <w:p w14:paraId="1836602D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First draft comments due</w:t>
            </w:r>
          </w:p>
        </w:tc>
        <w:tc>
          <w:tcPr>
            <w:tcW w:w="1990" w:type="dxa"/>
          </w:tcPr>
          <w:p w14:paraId="791456C4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 June 2020</w:t>
            </w:r>
          </w:p>
        </w:tc>
        <w:tc>
          <w:tcPr>
            <w:tcW w:w="3133" w:type="dxa"/>
          </w:tcPr>
          <w:p w14:paraId="1C5194CB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2E23DF" w14:paraId="64FACC42" w14:textId="77777777" w:rsidTr="008A1ED5">
        <w:tc>
          <w:tcPr>
            <w:tcW w:w="4227" w:type="dxa"/>
          </w:tcPr>
          <w:p w14:paraId="42155A1B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Second draft circulated to WG</w:t>
            </w:r>
          </w:p>
        </w:tc>
        <w:tc>
          <w:tcPr>
            <w:tcW w:w="1990" w:type="dxa"/>
          </w:tcPr>
          <w:p w14:paraId="482E8750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 September 2020</w:t>
            </w:r>
          </w:p>
        </w:tc>
        <w:tc>
          <w:tcPr>
            <w:tcW w:w="3133" w:type="dxa"/>
          </w:tcPr>
          <w:p w14:paraId="3C09F4A2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Before Fall 2020</w:t>
            </w:r>
            <w:r w:rsidR="002E23D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Meeting</w:t>
            </w:r>
          </w:p>
        </w:tc>
      </w:tr>
      <w:tr w:rsidR="002E23DF" w14:paraId="1A47128C" w14:textId="77777777" w:rsidTr="008A1ED5">
        <w:tc>
          <w:tcPr>
            <w:tcW w:w="4227" w:type="dxa"/>
          </w:tcPr>
          <w:p w14:paraId="047ADEEA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Second draft comments due</w:t>
            </w:r>
          </w:p>
        </w:tc>
        <w:tc>
          <w:tcPr>
            <w:tcW w:w="1990" w:type="dxa"/>
          </w:tcPr>
          <w:p w14:paraId="78C66FCD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 October 2020</w:t>
            </w:r>
          </w:p>
        </w:tc>
        <w:tc>
          <w:tcPr>
            <w:tcW w:w="3133" w:type="dxa"/>
          </w:tcPr>
          <w:p w14:paraId="6FBBFF89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Before Fall 2020</w:t>
            </w:r>
            <w:r w:rsidR="002E23D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Meeting</w:t>
            </w:r>
          </w:p>
        </w:tc>
      </w:tr>
      <w:tr w:rsidR="002E23DF" w14:paraId="7CD2A0E4" w14:textId="77777777" w:rsidTr="008A1ED5">
        <w:tc>
          <w:tcPr>
            <w:tcW w:w="4227" w:type="dxa"/>
          </w:tcPr>
          <w:p w14:paraId="339F4E5D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Final WB submitted to AD for further processing</w:t>
            </w:r>
          </w:p>
        </w:tc>
        <w:tc>
          <w:tcPr>
            <w:tcW w:w="1990" w:type="dxa"/>
          </w:tcPr>
          <w:p w14:paraId="018E26E5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 December 2020</w:t>
            </w:r>
          </w:p>
        </w:tc>
        <w:tc>
          <w:tcPr>
            <w:tcW w:w="3133" w:type="dxa"/>
          </w:tcPr>
          <w:p w14:paraId="4576E241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After Fall 2020</w:t>
            </w:r>
            <w:r w:rsidR="002E23D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Meeting</w:t>
            </w:r>
          </w:p>
        </w:tc>
      </w:tr>
      <w:tr w:rsidR="002E23DF" w14:paraId="328BB0A9" w14:textId="77777777" w:rsidTr="008A1ED5">
        <w:tc>
          <w:tcPr>
            <w:tcW w:w="4227" w:type="dxa"/>
          </w:tcPr>
          <w:p w14:paraId="377348DC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Secretariat Document Processing</w:t>
            </w:r>
          </w:p>
        </w:tc>
        <w:tc>
          <w:tcPr>
            <w:tcW w:w="1990" w:type="dxa"/>
          </w:tcPr>
          <w:p w14:paraId="5CBEE77A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 January 2021</w:t>
            </w:r>
          </w:p>
        </w:tc>
        <w:tc>
          <w:tcPr>
            <w:tcW w:w="3133" w:type="dxa"/>
          </w:tcPr>
          <w:p w14:paraId="22C31F12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Start of Review after CESG + CMC Polls </w:t>
            </w:r>
          </w:p>
        </w:tc>
      </w:tr>
      <w:tr w:rsidR="002E23DF" w14:paraId="3BEFB69A" w14:textId="77777777" w:rsidTr="008A1ED5">
        <w:tc>
          <w:tcPr>
            <w:tcW w:w="4227" w:type="dxa"/>
            <w:shd w:val="clear" w:color="auto" w:fill="auto"/>
          </w:tcPr>
          <w:p w14:paraId="340502EF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First Agency Review</w:t>
            </w:r>
          </w:p>
        </w:tc>
        <w:tc>
          <w:tcPr>
            <w:tcW w:w="1990" w:type="dxa"/>
            <w:shd w:val="clear" w:color="auto" w:fill="auto"/>
          </w:tcPr>
          <w:p w14:paraId="3F4E65DD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 March 2021</w:t>
            </w:r>
          </w:p>
        </w:tc>
        <w:tc>
          <w:tcPr>
            <w:tcW w:w="3133" w:type="dxa"/>
            <w:shd w:val="clear" w:color="auto" w:fill="auto"/>
          </w:tcPr>
          <w:p w14:paraId="3DA69D5C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End of Review</w:t>
            </w:r>
          </w:p>
        </w:tc>
      </w:tr>
      <w:tr w:rsidR="002E23DF" w14:paraId="01E5DF31" w14:textId="77777777" w:rsidTr="008A1ED5">
        <w:tc>
          <w:tcPr>
            <w:tcW w:w="4227" w:type="dxa"/>
            <w:shd w:val="clear" w:color="auto" w:fill="auto"/>
          </w:tcPr>
          <w:p w14:paraId="763D0629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RID Resolution</w:t>
            </w:r>
          </w:p>
        </w:tc>
        <w:tc>
          <w:tcPr>
            <w:tcW w:w="1990" w:type="dxa"/>
            <w:shd w:val="clear" w:color="auto" w:fill="auto"/>
          </w:tcPr>
          <w:p w14:paraId="1E225965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 May 2021</w:t>
            </w:r>
          </w:p>
        </w:tc>
        <w:tc>
          <w:tcPr>
            <w:tcW w:w="3133" w:type="dxa"/>
            <w:shd w:val="clear" w:color="auto" w:fill="auto"/>
          </w:tcPr>
          <w:p w14:paraId="26CC2CF8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At Spring 2021</w:t>
            </w:r>
            <w:r w:rsidR="002E23DF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Meeting</w:t>
            </w:r>
          </w:p>
        </w:tc>
      </w:tr>
      <w:tr w:rsidR="002E23DF" w14:paraId="47563DDE" w14:textId="77777777" w:rsidTr="008A1ED5">
        <w:tc>
          <w:tcPr>
            <w:tcW w:w="4227" w:type="dxa"/>
            <w:shd w:val="clear" w:color="auto" w:fill="auto"/>
          </w:tcPr>
          <w:p w14:paraId="6AB01E02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Secretariat Document Processing</w:t>
            </w:r>
          </w:p>
        </w:tc>
        <w:tc>
          <w:tcPr>
            <w:tcW w:w="1990" w:type="dxa"/>
            <w:shd w:val="clear" w:color="auto" w:fill="auto"/>
          </w:tcPr>
          <w:p w14:paraId="017C3050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N/A</w:t>
            </w:r>
          </w:p>
        </w:tc>
        <w:tc>
          <w:tcPr>
            <w:tcW w:w="3133" w:type="dxa"/>
            <w:shd w:val="clear" w:color="auto" w:fill="auto"/>
          </w:tcPr>
          <w:p w14:paraId="145621AA" w14:textId="5E16ACDA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The working group projects that these will be simple Pink Sheets </w:t>
            </w:r>
            <w:r w:rsidR="002E06B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that will not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require a second round of processing and review</w:t>
            </w:r>
          </w:p>
        </w:tc>
      </w:tr>
      <w:tr w:rsidR="002E23DF" w14:paraId="59E63A8A" w14:textId="77777777" w:rsidTr="008A1ED5">
        <w:tc>
          <w:tcPr>
            <w:tcW w:w="4227" w:type="dxa"/>
            <w:shd w:val="clear" w:color="auto" w:fill="auto"/>
          </w:tcPr>
          <w:p w14:paraId="52903B16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Final Agency Review</w:t>
            </w:r>
          </w:p>
        </w:tc>
        <w:tc>
          <w:tcPr>
            <w:tcW w:w="1990" w:type="dxa"/>
            <w:shd w:val="clear" w:color="auto" w:fill="auto"/>
          </w:tcPr>
          <w:p w14:paraId="02379D74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N/A</w:t>
            </w:r>
          </w:p>
        </w:tc>
        <w:tc>
          <w:tcPr>
            <w:tcW w:w="3133" w:type="dxa"/>
            <w:shd w:val="clear" w:color="auto" w:fill="auto"/>
          </w:tcPr>
          <w:p w14:paraId="2AA0122E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N/A</w:t>
            </w:r>
          </w:p>
        </w:tc>
      </w:tr>
      <w:tr w:rsidR="002E23DF" w14:paraId="59B000ED" w14:textId="77777777" w:rsidTr="008A1ED5">
        <w:tc>
          <w:tcPr>
            <w:tcW w:w="4227" w:type="dxa"/>
            <w:shd w:val="clear" w:color="auto" w:fill="auto"/>
          </w:tcPr>
          <w:p w14:paraId="7060AA14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RID Resolution</w:t>
            </w:r>
          </w:p>
        </w:tc>
        <w:tc>
          <w:tcPr>
            <w:tcW w:w="1990" w:type="dxa"/>
            <w:shd w:val="clear" w:color="auto" w:fill="auto"/>
          </w:tcPr>
          <w:p w14:paraId="4769BB53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N/A</w:t>
            </w:r>
          </w:p>
        </w:tc>
        <w:tc>
          <w:tcPr>
            <w:tcW w:w="3133" w:type="dxa"/>
            <w:shd w:val="clear" w:color="auto" w:fill="auto"/>
          </w:tcPr>
          <w:p w14:paraId="3E4434F2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N/A</w:t>
            </w:r>
          </w:p>
        </w:tc>
      </w:tr>
      <w:tr w:rsidR="002E23DF" w14:paraId="11712335" w14:textId="77777777" w:rsidTr="008A1ED5">
        <w:tc>
          <w:tcPr>
            <w:tcW w:w="4227" w:type="dxa"/>
            <w:shd w:val="clear" w:color="auto" w:fill="auto"/>
          </w:tcPr>
          <w:p w14:paraId="50207C35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First Prototype Development</w:t>
            </w:r>
          </w:p>
        </w:tc>
        <w:tc>
          <w:tcPr>
            <w:tcW w:w="1990" w:type="dxa"/>
            <w:shd w:val="clear" w:color="auto" w:fill="auto"/>
          </w:tcPr>
          <w:p w14:paraId="0949DD9E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 Dec 2020</w:t>
            </w:r>
          </w:p>
        </w:tc>
        <w:tc>
          <w:tcPr>
            <w:tcW w:w="3133" w:type="dxa"/>
            <w:shd w:val="clear" w:color="auto" w:fill="auto"/>
          </w:tcPr>
          <w:p w14:paraId="71C79A23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NASA</w:t>
            </w:r>
          </w:p>
        </w:tc>
      </w:tr>
      <w:tr w:rsidR="002E23DF" w14:paraId="4651D707" w14:textId="77777777" w:rsidTr="008A1ED5">
        <w:tc>
          <w:tcPr>
            <w:tcW w:w="4227" w:type="dxa"/>
            <w:shd w:val="clear" w:color="auto" w:fill="auto"/>
          </w:tcPr>
          <w:p w14:paraId="3C6070B6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Second Prototype Development</w:t>
            </w: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ab/>
            </w:r>
          </w:p>
        </w:tc>
        <w:tc>
          <w:tcPr>
            <w:tcW w:w="1990" w:type="dxa"/>
            <w:shd w:val="clear" w:color="auto" w:fill="auto"/>
          </w:tcPr>
          <w:p w14:paraId="5AD0C265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 Dec 2020</w:t>
            </w:r>
          </w:p>
        </w:tc>
        <w:tc>
          <w:tcPr>
            <w:tcW w:w="3133" w:type="dxa"/>
            <w:shd w:val="clear" w:color="auto" w:fill="auto"/>
          </w:tcPr>
          <w:p w14:paraId="15BE7316" w14:textId="77777777" w:rsidR="002E23DF" w:rsidRDefault="008A1ED5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TBD</w:t>
            </w:r>
          </w:p>
        </w:tc>
      </w:tr>
      <w:tr w:rsidR="002E23DF" w14:paraId="73CB8B36" w14:textId="77777777" w:rsidTr="008A1ED5">
        <w:tc>
          <w:tcPr>
            <w:tcW w:w="4227" w:type="dxa"/>
          </w:tcPr>
          <w:p w14:paraId="4CB2FEAF" w14:textId="77777777" w:rsidR="002E23DF" w:rsidRPr="00776609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CMC Approval</w:t>
            </w:r>
          </w:p>
        </w:tc>
        <w:tc>
          <w:tcPr>
            <w:tcW w:w="1990" w:type="dxa"/>
          </w:tcPr>
          <w:p w14:paraId="09E162EF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1 </w:t>
            </w:r>
            <w:r w:rsidR="008A1ED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June 2021</w:t>
            </w:r>
          </w:p>
        </w:tc>
        <w:tc>
          <w:tcPr>
            <w:tcW w:w="3133" w:type="dxa"/>
          </w:tcPr>
          <w:p w14:paraId="269D18C2" w14:textId="77777777" w:rsidR="002E23DF" w:rsidRDefault="002E23DF" w:rsidP="00057BCA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Includes Final </w:t>
            </w:r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Secretariat Document </w:t>
            </w:r>
            <w:proofErr w:type="gramStart"/>
            <w:r w:rsidRPr="007766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Processing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CESG Poll + CMC Poll for PUBLICATION</w:t>
            </w:r>
          </w:p>
        </w:tc>
      </w:tr>
    </w:tbl>
    <w:p w14:paraId="62A8946C" w14:textId="77777777" w:rsidR="002E23DF" w:rsidRPr="0048081A" w:rsidRDefault="002E23DF" w:rsidP="00C233D8">
      <w:pPr>
        <w:spacing w:after="24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2CC2C" w14:textId="77777777" w:rsidR="00B30C78" w:rsidRPr="0048081A" w:rsidRDefault="00B30C78" w:rsidP="008A1E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30C78" w:rsidRPr="0048081A" w:rsidSect="00CF0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5E5F" w14:textId="77777777" w:rsidR="007B55FB" w:rsidRDefault="007B55FB" w:rsidP="00BA35F9">
      <w:pPr>
        <w:spacing w:after="0" w:line="240" w:lineRule="auto"/>
      </w:pPr>
      <w:r>
        <w:separator/>
      </w:r>
    </w:p>
  </w:endnote>
  <w:endnote w:type="continuationSeparator" w:id="0">
    <w:p w14:paraId="315324A8" w14:textId="77777777" w:rsidR="007B55FB" w:rsidRDefault="007B55FB" w:rsidP="00BA35F9">
      <w:pPr>
        <w:spacing w:after="0" w:line="240" w:lineRule="auto"/>
      </w:pPr>
      <w:r>
        <w:continuationSeparator/>
      </w:r>
    </w:p>
  </w:endnote>
  <w:endnote w:type="continuationNotice" w:id="1">
    <w:p w14:paraId="1567470E" w14:textId="77777777" w:rsidR="007B55FB" w:rsidRDefault="007B5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12E" w14:textId="77777777" w:rsidR="00454A5F" w:rsidRDefault="00454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713B" w14:textId="0BB7254C" w:rsidR="00057BCA" w:rsidRPr="00322590" w:rsidRDefault="00057BCA" w:rsidP="003225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95985" w:rsidRPr="0059598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120E" w14:textId="77777777" w:rsidR="00454A5F" w:rsidRDefault="0045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E429" w14:textId="77777777" w:rsidR="007B55FB" w:rsidRDefault="007B55FB" w:rsidP="00BA35F9">
      <w:pPr>
        <w:spacing w:after="0" w:line="240" w:lineRule="auto"/>
      </w:pPr>
      <w:r>
        <w:separator/>
      </w:r>
    </w:p>
  </w:footnote>
  <w:footnote w:type="continuationSeparator" w:id="0">
    <w:p w14:paraId="79A08F77" w14:textId="77777777" w:rsidR="007B55FB" w:rsidRDefault="007B55FB" w:rsidP="00BA35F9">
      <w:pPr>
        <w:spacing w:after="0" w:line="240" w:lineRule="auto"/>
      </w:pPr>
      <w:r>
        <w:continuationSeparator/>
      </w:r>
    </w:p>
  </w:footnote>
  <w:footnote w:type="continuationNotice" w:id="1">
    <w:p w14:paraId="43D40D96" w14:textId="77777777" w:rsidR="007B55FB" w:rsidRDefault="007B5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6FF2" w14:textId="77777777" w:rsidR="00454A5F" w:rsidRDefault="00454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AEF8" w14:textId="77777777" w:rsidR="00454A5F" w:rsidRDefault="00454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96FC" w14:textId="77777777" w:rsidR="00454A5F" w:rsidRDefault="00454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A3"/>
    <w:multiLevelType w:val="multilevel"/>
    <w:tmpl w:val="1066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6CBD"/>
    <w:multiLevelType w:val="multilevel"/>
    <w:tmpl w:val="C16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1ADE"/>
    <w:multiLevelType w:val="hybridMultilevel"/>
    <w:tmpl w:val="883CE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C2992"/>
    <w:multiLevelType w:val="hybridMultilevel"/>
    <w:tmpl w:val="9D926AB0"/>
    <w:lvl w:ilvl="0" w:tplc="763E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6BC"/>
    <w:multiLevelType w:val="hybridMultilevel"/>
    <w:tmpl w:val="F40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5C66"/>
    <w:multiLevelType w:val="hybridMultilevel"/>
    <w:tmpl w:val="1BF6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2E3E"/>
    <w:multiLevelType w:val="hybridMultilevel"/>
    <w:tmpl w:val="C3A2B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3418"/>
    <w:multiLevelType w:val="hybridMultilevel"/>
    <w:tmpl w:val="CEDE9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3298"/>
    <w:multiLevelType w:val="hybridMultilevel"/>
    <w:tmpl w:val="9BE06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80C8A"/>
    <w:multiLevelType w:val="hybridMultilevel"/>
    <w:tmpl w:val="BBB80490"/>
    <w:lvl w:ilvl="0" w:tplc="2CF073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2E49EF"/>
    <w:multiLevelType w:val="hybridMultilevel"/>
    <w:tmpl w:val="43C8B22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0042842"/>
    <w:multiLevelType w:val="multilevel"/>
    <w:tmpl w:val="5D0C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1046E"/>
    <w:multiLevelType w:val="hybridMultilevel"/>
    <w:tmpl w:val="612AE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2559C"/>
    <w:multiLevelType w:val="hybridMultilevel"/>
    <w:tmpl w:val="2ED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47"/>
    <w:rsid w:val="000074F7"/>
    <w:rsid w:val="00026E88"/>
    <w:rsid w:val="0003426C"/>
    <w:rsid w:val="00037EB3"/>
    <w:rsid w:val="000473DC"/>
    <w:rsid w:val="00053DF2"/>
    <w:rsid w:val="00057BCA"/>
    <w:rsid w:val="00063847"/>
    <w:rsid w:val="00075E9A"/>
    <w:rsid w:val="000970BD"/>
    <w:rsid w:val="000A0645"/>
    <w:rsid w:val="000A6D84"/>
    <w:rsid w:val="000C7CF1"/>
    <w:rsid w:val="000D6955"/>
    <w:rsid w:val="000E7B72"/>
    <w:rsid w:val="000F377B"/>
    <w:rsid w:val="00100723"/>
    <w:rsid w:val="00117579"/>
    <w:rsid w:val="00136753"/>
    <w:rsid w:val="00141427"/>
    <w:rsid w:val="0014228C"/>
    <w:rsid w:val="00143BA0"/>
    <w:rsid w:val="0015002C"/>
    <w:rsid w:val="00150992"/>
    <w:rsid w:val="0015715B"/>
    <w:rsid w:val="00162A40"/>
    <w:rsid w:val="00167022"/>
    <w:rsid w:val="0017300F"/>
    <w:rsid w:val="00174CA6"/>
    <w:rsid w:val="00191867"/>
    <w:rsid w:val="00192435"/>
    <w:rsid w:val="00193707"/>
    <w:rsid w:val="00193762"/>
    <w:rsid w:val="00193E9A"/>
    <w:rsid w:val="00193EAD"/>
    <w:rsid w:val="001977AD"/>
    <w:rsid w:val="001B0868"/>
    <w:rsid w:val="001B0E8A"/>
    <w:rsid w:val="001B7088"/>
    <w:rsid w:val="001E1410"/>
    <w:rsid w:val="001E382A"/>
    <w:rsid w:val="001F7176"/>
    <w:rsid w:val="001F7BA6"/>
    <w:rsid w:val="00216514"/>
    <w:rsid w:val="002259E7"/>
    <w:rsid w:val="00242C65"/>
    <w:rsid w:val="00245A44"/>
    <w:rsid w:val="002567C1"/>
    <w:rsid w:val="00261771"/>
    <w:rsid w:val="00270AA5"/>
    <w:rsid w:val="00275523"/>
    <w:rsid w:val="0027584E"/>
    <w:rsid w:val="00295861"/>
    <w:rsid w:val="002A27D6"/>
    <w:rsid w:val="002A2CED"/>
    <w:rsid w:val="002A4363"/>
    <w:rsid w:val="002A721C"/>
    <w:rsid w:val="002D51FF"/>
    <w:rsid w:val="002D7672"/>
    <w:rsid w:val="002E06BE"/>
    <w:rsid w:val="002E23DF"/>
    <w:rsid w:val="00301A03"/>
    <w:rsid w:val="003020D2"/>
    <w:rsid w:val="00322590"/>
    <w:rsid w:val="00335864"/>
    <w:rsid w:val="00337D60"/>
    <w:rsid w:val="00355FFD"/>
    <w:rsid w:val="003632CB"/>
    <w:rsid w:val="00365B23"/>
    <w:rsid w:val="003A2221"/>
    <w:rsid w:val="003B50D0"/>
    <w:rsid w:val="003F3976"/>
    <w:rsid w:val="003F3C99"/>
    <w:rsid w:val="00403947"/>
    <w:rsid w:val="00411770"/>
    <w:rsid w:val="004170D5"/>
    <w:rsid w:val="0043343D"/>
    <w:rsid w:val="004427DE"/>
    <w:rsid w:val="004454B2"/>
    <w:rsid w:val="00454A5F"/>
    <w:rsid w:val="00473EA3"/>
    <w:rsid w:val="00473FFA"/>
    <w:rsid w:val="0048081A"/>
    <w:rsid w:val="004947E8"/>
    <w:rsid w:val="004966F3"/>
    <w:rsid w:val="004A0ABC"/>
    <w:rsid w:val="004A7C4A"/>
    <w:rsid w:val="004B533E"/>
    <w:rsid w:val="004B6F69"/>
    <w:rsid w:val="004C52D2"/>
    <w:rsid w:val="004D002E"/>
    <w:rsid w:val="004D2625"/>
    <w:rsid w:val="00501B7F"/>
    <w:rsid w:val="005160BA"/>
    <w:rsid w:val="00522A63"/>
    <w:rsid w:val="00526927"/>
    <w:rsid w:val="00543789"/>
    <w:rsid w:val="00561BEA"/>
    <w:rsid w:val="00564EE3"/>
    <w:rsid w:val="00567191"/>
    <w:rsid w:val="0057626D"/>
    <w:rsid w:val="0059156C"/>
    <w:rsid w:val="00595985"/>
    <w:rsid w:val="005972C5"/>
    <w:rsid w:val="005A2EFA"/>
    <w:rsid w:val="005C08B6"/>
    <w:rsid w:val="005C5643"/>
    <w:rsid w:val="005C5658"/>
    <w:rsid w:val="005F1170"/>
    <w:rsid w:val="005F2C06"/>
    <w:rsid w:val="006106DD"/>
    <w:rsid w:val="00612B62"/>
    <w:rsid w:val="00635EBF"/>
    <w:rsid w:val="006403C7"/>
    <w:rsid w:val="00657D0C"/>
    <w:rsid w:val="00671C77"/>
    <w:rsid w:val="00690A17"/>
    <w:rsid w:val="00693940"/>
    <w:rsid w:val="006A6ED8"/>
    <w:rsid w:val="006B7312"/>
    <w:rsid w:val="006C5D87"/>
    <w:rsid w:val="006C65C4"/>
    <w:rsid w:val="006C6D23"/>
    <w:rsid w:val="006D1607"/>
    <w:rsid w:val="006D2E23"/>
    <w:rsid w:val="006F4C06"/>
    <w:rsid w:val="0070655F"/>
    <w:rsid w:val="007133B7"/>
    <w:rsid w:val="007145C4"/>
    <w:rsid w:val="00721B11"/>
    <w:rsid w:val="00744628"/>
    <w:rsid w:val="0075292C"/>
    <w:rsid w:val="00765EDA"/>
    <w:rsid w:val="007817AC"/>
    <w:rsid w:val="00787E19"/>
    <w:rsid w:val="007952B7"/>
    <w:rsid w:val="00797616"/>
    <w:rsid w:val="007A1AB5"/>
    <w:rsid w:val="007B095E"/>
    <w:rsid w:val="007B55FB"/>
    <w:rsid w:val="007D3EFF"/>
    <w:rsid w:val="008048B0"/>
    <w:rsid w:val="00813238"/>
    <w:rsid w:val="00813F19"/>
    <w:rsid w:val="008236F8"/>
    <w:rsid w:val="00832190"/>
    <w:rsid w:val="008357A5"/>
    <w:rsid w:val="008407DB"/>
    <w:rsid w:val="00844B4F"/>
    <w:rsid w:val="00857538"/>
    <w:rsid w:val="008613B5"/>
    <w:rsid w:val="008920BB"/>
    <w:rsid w:val="00897355"/>
    <w:rsid w:val="008A1ED5"/>
    <w:rsid w:val="008A4E51"/>
    <w:rsid w:val="008A76BC"/>
    <w:rsid w:val="008C6DE6"/>
    <w:rsid w:val="008E6C1D"/>
    <w:rsid w:val="008F5468"/>
    <w:rsid w:val="00907341"/>
    <w:rsid w:val="009167A0"/>
    <w:rsid w:val="00923EFC"/>
    <w:rsid w:val="009256CE"/>
    <w:rsid w:val="00932BAF"/>
    <w:rsid w:val="00935751"/>
    <w:rsid w:val="00937850"/>
    <w:rsid w:val="009456D0"/>
    <w:rsid w:val="009559A7"/>
    <w:rsid w:val="00964B83"/>
    <w:rsid w:val="00987815"/>
    <w:rsid w:val="00994CDC"/>
    <w:rsid w:val="00997A50"/>
    <w:rsid w:val="009A2469"/>
    <w:rsid w:val="009A344C"/>
    <w:rsid w:val="009B4AC0"/>
    <w:rsid w:val="009B566A"/>
    <w:rsid w:val="009B7584"/>
    <w:rsid w:val="009C6F50"/>
    <w:rsid w:val="009D0E29"/>
    <w:rsid w:val="009E72E7"/>
    <w:rsid w:val="00A01419"/>
    <w:rsid w:val="00A13DA0"/>
    <w:rsid w:val="00A1602F"/>
    <w:rsid w:val="00A1714E"/>
    <w:rsid w:val="00A30953"/>
    <w:rsid w:val="00A35FA4"/>
    <w:rsid w:val="00A406C6"/>
    <w:rsid w:val="00A44425"/>
    <w:rsid w:val="00A50F45"/>
    <w:rsid w:val="00A5717C"/>
    <w:rsid w:val="00A708EA"/>
    <w:rsid w:val="00A71F09"/>
    <w:rsid w:val="00A803FE"/>
    <w:rsid w:val="00A94C99"/>
    <w:rsid w:val="00AA3263"/>
    <w:rsid w:val="00AC11A4"/>
    <w:rsid w:val="00AC6D0B"/>
    <w:rsid w:val="00AD7B54"/>
    <w:rsid w:val="00AE1825"/>
    <w:rsid w:val="00AE22E6"/>
    <w:rsid w:val="00AE44A1"/>
    <w:rsid w:val="00AF5FBD"/>
    <w:rsid w:val="00B14EA6"/>
    <w:rsid w:val="00B1502F"/>
    <w:rsid w:val="00B16417"/>
    <w:rsid w:val="00B17389"/>
    <w:rsid w:val="00B226A4"/>
    <w:rsid w:val="00B30C78"/>
    <w:rsid w:val="00B378A1"/>
    <w:rsid w:val="00B37FC9"/>
    <w:rsid w:val="00B4627D"/>
    <w:rsid w:val="00B46EC8"/>
    <w:rsid w:val="00B5318A"/>
    <w:rsid w:val="00B56971"/>
    <w:rsid w:val="00B57D27"/>
    <w:rsid w:val="00B609D6"/>
    <w:rsid w:val="00B61CDC"/>
    <w:rsid w:val="00B64B7F"/>
    <w:rsid w:val="00B813CE"/>
    <w:rsid w:val="00B912B1"/>
    <w:rsid w:val="00BA35F9"/>
    <w:rsid w:val="00BA5445"/>
    <w:rsid w:val="00BA5E45"/>
    <w:rsid w:val="00BD1A8A"/>
    <w:rsid w:val="00BD46F4"/>
    <w:rsid w:val="00BE4804"/>
    <w:rsid w:val="00BF2EAD"/>
    <w:rsid w:val="00C1031D"/>
    <w:rsid w:val="00C233D8"/>
    <w:rsid w:val="00C238DE"/>
    <w:rsid w:val="00C24752"/>
    <w:rsid w:val="00C330E5"/>
    <w:rsid w:val="00C3324A"/>
    <w:rsid w:val="00C53019"/>
    <w:rsid w:val="00C61BD0"/>
    <w:rsid w:val="00C61E23"/>
    <w:rsid w:val="00C620FE"/>
    <w:rsid w:val="00C66306"/>
    <w:rsid w:val="00C8209C"/>
    <w:rsid w:val="00C8669E"/>
    <w:rsid w:val="00C975A9"/>
    <w:rsid w:val="00CB6C3F"/>
    <w:rsid w:val="00CB7211"/>
    <w:rsid w:val="00CD0408"/>
    <w:rsid w:val="00CD2FF5"/>
    <w:rsid w:val="00CD37A9"/>
    <w:rsid w:val="00CD4704"/>
    <w:rsid w:val="00CD5201"/>
    <w:rsid w:val="00CE78E8"/>
    <w:rsid w:val="00CF0408"/>
    <w:rsid w:val="00CF16F4"/>
    <w:rsid w:val="00CF1756"/>
    <w:rsid w:val="00CF490B"/>
    <w:rsid w:val="00D032FB"/>
    <w:rsid w:val="00D132DE"/>
    <w:rsid w:val="00D16FEA"/>
    <w:rsid w:val="00D5518B"/>
    <w:rsid w:val="00D5565A"/>
    <w:rsid w:val="00D66E30"/>
    <w:rsid w:val="00D7373E"/>
    <w:rsid w:val="00D766E7"/>
    <w:rsid w:val="00D76AB8"/>
    <w:rsid w:val="00D80193"/>
    <w:rsid w:val="00D802B9"/>
    <w:rsid w:val="00D84E53"/>
    <w:rsid w:val="00D8714B"/>
    <w:rsid w:val="00D97915"/>
    <w:rsid w:val="00DA06CB"/>
    <w:rsid w:val="00DA67C4"/>
    <w:rsid w:val="00DB34E5"/>
    <w:rsid w:val="00DB7563"/>
    <w:rsid w:val="00DC116D"/>
    <w:rsid w:val="00DC2A25"/>
    <w:rsid w:val="00DC2DD5"/>
    <w:rsid w:val="00DF0E27"/>
    <w:rsid w:val="00E0229A"/>
    <w:rsid w:val="00E02A06"/>
    <w:rsid w:val="00E04219"/>
    <w:rsid w:val="00E056E4"/>
    <w:rsid w:val="00E124AE"/>
    <w:rsid w:val="00E12A4C"/>
    <w:rsid w:val="00E159C5"/>
    <w:rsid w:val="00E33621"/>
    <w:rsid w:val="00E34E55"/>
    <w:rsid w:val="00E5714C"/>
    <w:rsid w:val="00E81CE6"/>
    <w:rsid w:val="00E85503"/>
    <w:rsid w:val="00E86B3F"/>
    <w:rsid w:val="00E87F35"/>
    <w:rsid w:val="00E92D1F"/>
    <w:rsid w:val="00E96DC5"/>
    <w:rsid w:val="00E9704E"/>
    <w:rsid w:val="00EB2847"/>
    <w:rsid w:val="00EC1D2E"/>
    <w:rsid w:val="00ED1299"/>
    <w:rsid w:val="00ED15A0"/>
    <w:rsid w:val="00EE2E96"/>
    <w:rsid w:val="00EE53CF"/>
    <w:rsid w:val="00EF172D"/>
    <w:rsid w:val="00EF60A6"/>
    <w:rsid w:val="00F05124"/>
    <w:rsid w:val="00F11590"/>
    <w:rsid w:val="00F26527"/>
    <w:rsid w:val="00F442B4"/>
    <w:rsid w:val="00F62F0A"/>
    <w:rsid w:val="00F65720"/>
    <w:rsid w:val="00F72707"/>
    <w:rsid w:val="00F762CE"/>
    <w:rsid w:val="00F97F83"/>
    <w:rsid w:val="00FB09E6"/>
    <w:rsid w:val="00FC0EB3"/>
    <w:rsid w:val="00FD25CA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0A3AF"/>
  <w15:docId w15:val="{58EDDE2F-CC61-4F23-BBB8-0F4FF621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1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F9"/>
  </w:style>
  <w:style w:type="paragraph" w:styleId="Footer">
    <w:name w:val="footer"/>
    <w:basedOn w:val="Normal"/>
    <w:link w:val="FooterChar"/>
    <w:uiPriority w:val="99"/>
    <w:unhideWhenUsed/>
    <w:rsid w:val="00BA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F9"/>
  </w:style>
  <w:style w:type="paragraph" w:customStyle="1" w:styleId="yiv9926269840msonormal">
    <w:name w:val="yiv9926269840msonormal"/>
    <w:basedOn w:val="Normal"/>
    <w:rsid w:val="00CD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D132DE"/>
    <w:pPr>
      <w:spacing w:after="0" w:line="240" w:lineRule="auto"/>
    </w:pPr>
  </w:style>
  <w:style w:type="table" w:styleId="TableGrid">
    <w:name w:val="Table Grid"/>
    <w:basedOn w:val="TableNormal"/>
    <w:uiPriority w:val="59"/>
    <w:rsid w:val="00B3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33B7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1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409C-C162-4727-87CD-C9DA35F54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BA64A-2343-4399-A901-D233A286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Bernard L. (GSFC-5600)</dc:creator>
  <cp:lastModifiedBy>Braatz, Lena [USA]</cp:lastModifiedBy>
  <cp:revision>4</cp:revision>
  <dcterms:created xsi:type="dcterms:W3CDTF">2019-11-26T20:26:00Z</dcterms:created>
  <dcterms:modified xsi:type="dcterms:W3CDTF">2019-11-26T20:33:00Z</dcterms:modified>
</cp:coreProperties>
</file>