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CC4D" w14:textId="3D7B0049" w:rsidR="00F3682B" w:rsidRPr="00F3682B" w:rsidRDefault="00F3682B" w:rsidP="00F3682B">
      <w:pPr>
        <w:jc w:val="both"/>
        <w:rPr>
          <w:b/>
        </w:rPr>
      </w:pPr>
      <w:r w:rsidRPr="00E2179E">
        <w:rPr>
          <w:b/>
          <w:lang w:val="en-US"/>
        </w:rPr>
        <w:t xml:space="preserve">CCSDS </w:t>
      </w:r>
      <w:r>
        <w:rPr>
          <w:b/>
          <w:lang w:val="en-US"/>
        </w:rPr>
        <w:t>Spring</w:t>
      </w:r>
      <w:r w:rsidRPr="00E2179E">
        <w:rPr>
          <w:b/>
          <w:lang w:val="en-US"/>
        </w:rPr>
        <w:t xml:space="preserve"> meeting 202</w:t>
      </w:r>
      <w:r w:rsidR="006D69DE">
        <w:rPr>
          <w:b/>
          <w:lang w:val="en-US"/>
        </w:rPr>
        <w:t>4</w:t>
      </w:r>
      <w:r w:rsidRPr="00E2179E">
        <w:rPr>
          <w:b/>
          <w:lang w:val="en-US"/>
        </w:rPr>
        <w:tab/>
      </w:r>
      <w:r w:rsidRPr="00E2179E">
        <w:rPr>
          <w:b/>
          <w:lang w:val="en-US"/>
        </w:rPr>
        <w:tab/>
      </w:r>
      <w:r w:rsidRPr="00E2179E">
        <w:rPr>
          <w:b/>
          <w:lang w:val="en-US"/>
        </w:rPr>
        <w:tab/>
      </w:r>
      <w:r w:rsidRPr="00E2179E">
        <w:rPr>
          <w:b/>
          <w:lang w:val="en-US"/>
        </w:rPr>
        <w:tab/>
      </w:r>
      <w:r w:rsidRPr="00E2179E">
        <w:rPr>
          <w:b/>
          <w:lang w:val="en-US"/>
        </w:rPr>
        <w:tab/>
      </w:r>
      <w:r w:rsidRPr="00E2179E">
        <w:rPr>
          <w:b/>
          <w:lang w:val="en-US"/>
        </w:rPr>
        <w:tab/>
        <w:t>SLS-</w:t>
      </w:r>
      <w:r>
        <w:rPr>
          <w:b/>
          <w:lang w:val="en-US"/>
        </w:rPr>
        <w:t>CS</w:t>
      </w:r>
      <w:r w:rsidRPr="00E2179E">
        <w:rPr>
          <w:b/>
          <w:lang w:val="en-US"/>
        </w:rPr>
        <w:t>_2</w:t>
      </w:r>
      <w:r w:rsidR="006D69DE">
        <w:rPr>
          <w:b/>
          <w:lang w:val="en-US"/>
        </w:rPr>
        <w:t>4</w:t>
      </w:r>
      <w:r w:rsidRPr="00E2179E">
        <w:rPr>
          <w:b/>
          <w:lang w:val="en-US"/>
        </w:rPr>
        <w:t>-</w:t>
      </w:r>
      <w:r>
        <w:rPr>
          <w:b/>
          <w:lang w:val="en-US"/>
        </w:rPr>
        <w:t>01</w:t>
      </w:r>
    </w:p>
    <w:p w14:paraId="07E8B344" w14:textId="4A3C8F3D" w:rsidR="00F3682B" w:rsidRPr="00E2179E" w:rsidRDefault="00F3682B" w:rsidP="00F3682B">
      <w:pPr>
        <w:jc w:val="both"/>
        <w:rPr>
          <w:b/>
          <w:lang w:val="en-US"/>
        </w:rPr>
      </w:pPr>
      <w:r>
        <w:rPr>
          <w:b/>
          <w:lang w:val="en-US"/>
        </w:rPr>
        <w:t>Washington DC</w:t>
      </w:r>
    </w:p>
    <w:p w14:paraId="0531E962" w14:textId="77777777" w:rsidR="00F3682B" w:rsidRPr="00E2179E" w:rsidRDefault="00F3682B" w:rsidP="00F3682B">
      <w:pPr>
        <w:rPr>
          <w:b/>
          <w:lang w:val="en-US"/>
        </w:rPr>
      </w:pPr>
      <w:r w:rsidRPr="00E2179E">
        <w:rPr>
          <w:b/>
          <w:lang w:val="en-US"/>
        </w:rPr>
        <w:tab/>
      </w:r>
      <w:r w:rsidRPr="00E2179E">
        <w:rPr>
          <w:b/>
          <w:lang w:val="en-US"/>
        </w:rPr>
        <w:tab/>
      </w:r>
      <w:r w:rsidRPr="00E2179E">
        <w:rPr>
          <w:b/>
          <w:lang w:val="en-US"/>
        </w:rPr>
        <w:tab/>
      </w:r>
      <w:r w:rsidRPr="00E2179E">
        <w:rPr>
          <w:b/>
          <w:lang w:val="en-US"/>
        </w:rPr>
        <w:tab/>
      </w:r>
      <w:r w:rsidRPr="00E2179E">
        <w:rPr>
          <w:b/>
          <w:lang w:val="en-US"/>
        </w:rPr>
        <w:tab/>
      </w:r>
      <w:r w:rsidRPr="00E2179E">
        <w:rPr>
          <w:b/>
          <w:lang w:val="en-US"/>
        </w:rPr>
        <w:tab/>
      </w:r>
    </w:p>
    <w:p w14:paraId="66D3187C" w14:textId="77777777" w:rsidR="00F3682B" w:rsidRPr="00E2179E" w:rsidRDefault="00F3682B" w:rsidP="00F3682B">
      <w:pPr>
        <w:pStyle w:val="Heading1"/>
        <w:keepNext/>
        <w:numPr>
          <w:ilvl w:val="0"/>
          <w:numId w:val="0"/>
        </w:numPr>
        <w:tabs>
          <w:tab w:val="right" w:pos="8280"/>
        </w:tabs>
        <w:autoSpaceDE w:val="0"/>
        <w:autoSpaceDN w:val="0"/>
        <w:adjustRightInd w:val="0"/>
        <w:jc w:val="both"/>
        <w:rPr>
          <w:lang w:val="en-US"/>
        </w:rPr>
      </w:pPr>
    </w:p>
    <w:p w14:paraId="4B5F3C9D" w14:textId="77777777" w:rsidR="00F3682B" w:rsidRDefault="00F3682B" w:rsidP="00F3682B">
      <w:pPr>
        <w:jc w:val="center"/>
        <w:rPr>
          <w:b/>
          <w:sz w:val="28"/>
          <w:u w:val="single"/>
          <w:lang w:val="en-US"/>
        </w:rPr>
      </w:pPr>
      <w:r w:rsidRPr="00E2179E">
        <w:rPr>
          <w:b/>
          <w:sz w:val="28"/>
          <w:u w:val="single"/>
          <w:lang w:val="en-US"/>
        </w:rPr>
        <w:t>EUROPEAN SPACE AGENCY</w:t>
      </w:r>
    </w:p>
    <w:p w14:paraId="1FA53EA2" w14:textId="77777777" w:rsidR="00F3682B" w:rsidRPr="00EC0791" w:rsidRDefault="00F3682B" w:rsidP="00F3682B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Andrea Modenini</w:t>
      </w:r>
    </w:p>
    <w:p w14:paraId="2160A066" w14:textId="77777777" w:rsidR="00F3682B" w:rsidRPr="00E2179E" w:rsidRDefault="00F3682B" w:rsidP="00F3682B">
      <w:pPr>
        <w:jc w:val="both"/>
        <w:rPr>
          <w:sz w:val="28"/>
          <w:lang w:val="en-US"/>
        </w:rPr>
      </w:pPr>
    </w:p>
    <w:p w14:paraId="12F630D7" w14:textId="77777777" w:rsidR="00F3682B" w:rsidRPr="00E2179E" w:rsidRDefault="00F3682B" w:rsidP="00F3682B">
      <w:pPr>
        <w:jc w:val="both"/>
        <w:rPr>
          <w:sz w:val="28"/>
          <w:lang w:val="en-US"/>
        </w:rPr>
      </w:pPr>
    </w:p>
    <w:p w14:paraId="09BC5C09" w14:textId="49A57CD1" w:rsidR="00F3682B" w:rsidRPr="00E2179E" w:rsidRDefault="00F3682B" w:rsidP="00F3682B">
      <w:pPr>
        <w:pStyle w:val="ListParagraph"/>
        <w:tabs>
          <w:tab w:val="left" w:pos="1443"/>
          <w:tab w:val="left" w:pos="2160"/>
          <w:tab w:val="left" w:pos="2883"/>
          <w:tab w:val="left" w:pos="3600"/>
          <w:tab w:val="left" w:pos="4323"/>
          <w:tab w:val="left" w:pos="5040"/>
          <w:tab w:val="left" w:pos="5763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  <w:sz w:val="36"/>
          <w:lang w:val="en-US"/>
        </w:rPr>
      </w:pPr>
      <w:r>
        <w:rPr>
          <w:b/>
          <w:color w:val="000000"/>
          <w:sz w:val="36"/>
          <w:lang w:val="en-US"/>
        </w:rPr>
        <w:t>Proposed Table of contents for VCM Green Book</w:t>
      </w:r>
    </w:p>
    <w:p w14:paraId="1A237407" w14:textId="77777777" w:rsidR="00F3682B" w:rsidRPr="00E2179E" w:rsidRDefault="00F3682B" w:rsidP="00F3682B">
      <w:pPr>
        <w:tabs>
          <w:tab w:val="left" w:pos="1443"/>
          <w:tab w:val="left" w:pos="2160"/>
          <w:tab w:val="left" w:pos="2883"/>
          <w:tab w:val="left" w:pos="3600"/>
          <w:tab w:val="left" w:pos="4323"/>
          <w:tab w:val="left" w:pos="5040"/>
          <w:tab w:val="left" w:pos="5763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color w:val="000000"/>
          <w:lang w:val="en-US"/>
        </w:rPr>
      </w:pPr>
    </w:p>
    <w:p w14:paraId="5D26F134" w14:textId="77777777" w:rsidR="00F3682B" w:rsidRPr="00E2179E" w:rsidRDefault="00F3682B" w:rsidP="00F3682B">
      <w:pPr>
        <w:jc w:val="both"/>
        <w:rPr>
          <w:sz w:val="28"/>
          <w:lang w:val="en-US"/>
        </w:rPr>
      </w:pPr>
    </w:p>
    <w:p w14:paraId="3A004EBA" w14:textId="77777777" w:rsidR="00F3682B" w:rsidRPr="00E2179E" w:rsidRDefault="00F3682B" w:rsidP="00F3682B">
      <w:pPr>
        <w:jc w:val="center"/>
        <w:rPr>
          <w:b/>
          <w:u w:val="single"/>
          <w:lang w:val="en-US"/>
        </w:rPr>
      </w:pPr>
      <w:r w:rsidRPr="00E2179E">
        <w:rPr>
          <w:b/>
          <w:u w:val="single"/>
          <w:lang w:val="en-US"/>
        </w:rPr>
        <w:t>Abstract</w:t>
      </w:r>
    </w:p>
    <w:p w14:paraId="38D9128F" w14:textId="77777777" w:rsidR="00F3682B" w:rsidRPr="00E2179E" w:rsidRDefault="00F3682B" w:rsidP="00F3682B">
      <w:pPr>
        <w:jc w:val="both"/>
        <w:rPr>
          <w:lang w:val="en-US"/>
        </w:rPr>
      </w:pPr>
    </w:p>
    <w:p w14:paraId="0AF2B8D0" w14:textId="7CAB9D7A" w:rsidR="00F3682B" w:rsidRDefault="00F3682B" w:rsidP="00F3682B">
      <w:pPr>
        <w:jc w:val="both"/>
        <w:rPr>
          <w:lang w:val="en-US"/>
        </w:rPr>
      </w:pPr>
      <w:r>
        <w:rPr>
          <w:lang w:val="en-US"/>
        </w:rPr>
        <w:t xml:space="preserve">This paper is the formal response to AI_23-11 </w:t>
      </w:r>
      <w:r w:rsidR="006D69DE">
        <w:rPr>
          <w:lang w:val="en-US"/>
        </w:rPr>
        <w:t xml:space="preserve">of </w:t>
      </w:r>
      <w:r>
        <w:rPr>
          <w:lang w:val="en-US"/>
        </w:rPr>
        <w:t>RFM WG (recorded as AI_23-12 under C&amp;S WG)</w:t>
      </w:r>
      <w:r w:rsidR="006D69DE">
        <w:rPr>
          <w:lang w:val="en-US"/>
        </w:rPr>
        <w:t xml:space="preserve"> about providing a table of contents (</w:t>
      </w:r>
      <w:proofErr w:type="spellStart"/>
      <w:r w:rsidR="006D69DE">
        <w:rPr>
          <w:lang w:val="en-US"/>
        </w:rPr>
        <w:t>ToC</w:t>
      </w:r>
      <w:proofErr w:type="spellEnd"/>
      <w:r w:rsidR="006D69DE">
        <w:rPr>
          <w:lang w:val="en-US"/>
        </w:rPr>
        <w:t>) for a potential</w:t>
      </w:r>
      <w:r w:rsidR="006C000E">
        <w:rPr>
          <w:lang w:val="en-US"/>
        </w:rPr>
        <w:t xml:space="preserve"> </w:t>
      </w:r>
      <w:r w:rsidR="006C000E" w:rsidRPr="006D69DE">
        <w:t xml:space="preserve">variable </w:t>
      </w:r>
      <w:r w:rsidR="006C000E">
        <w:t xml:space="preserve">coded </w:t>
      </w:r>
      <w:r w:rsidR="006C000E" w:rsidRPr="006D69DE">
        <w:t>modulation (VCM)</w:t>
      </w:r>
      <w:r w:rsidR="006C000E">
        <w:t xml:space="preserve"> </w:t>
      </w:r>
      <w:r w:rsidR="006D69DE">
        <w:rPr>
          <w:lang w:val="en-US"/>
        </w:rPr>
        <w:t>green book</w:t>
      </w:r>
      <w:r w:rsidR="006C000E">
        <w:rPr>
          <w:lang w:val="en-US"/>
        </w:rPr>
        <w:t xml:space="preserve">, to be pair with the VCM BB </w:t>
      </w:r>
      <w:r w:rsidR="006C000E">
        <w:rPr>
          <w:lang w:val="en-US"/>
        </w:rPr>
        <w:fldChar w:fldCharType="begin"/>
      </w:r>
      <w:r w:rsidR="006C000E">
        <w:rPr>
          <w:lang w:val="en-US"/>
        </w:rPr>
        <w:instrText xml:space="preserve"> REF _Ref156214597 \r \h </w:instrText>
      </w:r>
      <w:r w:rsidR="006C000E">
        <w:rPr>
          <w:lang w:val="en-US"/>
        </w:rPr>
      </w:r>
      <w:r w:rsidR="006C000E">
        <w:rPr>
          <w:lang w:val="en-US"/>
        </w:rPr>
        <w:fldChar w:fldCharType="separate"/>
      </w:r>
      <w:r w:rsidR="006C000E">
        <w:rPr>
          <w:lang w:val="en-US"/>
        </w:rPr>
        <w:t>[RD1]</w:t>
      </w:r>
      <w:r w:rsidR="006C000E">
        <w:rPr>
          <w:lang w:val="en-US"/>
        </w:rPr>
        <w:fldChar w:fldCharType="end"/>
      </w:r>
      <w:r w:rsidR="006D69DE">
        <w:rPr>
          <w:lang w:val="en-US"/>
        </w:rPr>
        <w:t>.</w:t>
      </w:r>
    </w:p>
    <w:p w14:paraId="570BB92C" w14:textId="77777777" w:rsidR="00F3682B" w:rsidRPr="00E2179E" w:rsidRDefault="00F3682B" w:rsidP="00F3682B">
      <w:pPr>
        <w:jc w:val="both"/>
        <w:rPr>
          <w:color w:val="000000"/>
          <w:szCs w:val="20"/>
          <w:lang w:val="en-US"/>
        </w:rPr>
      </w:pPr>
    </w:p>
    <w:p w14:paraId="77CBB043" w14:textId="77777777" w:rsidR="00F3682B" w:rsidRPr="00E2179E" w:rsidRDefault="00F3682B" w:rsidP="00F3682B">
      <w:pPr>
        <w:pStyle w:val="Heading1"/>
        <w:jc w:val="both"/>
        <w:rPr>
          <w:lang w:val="en-US"/>
        </w:rPr>
      </w:pPr>
      <w:r w:rsidRPr="00E2179E">
        <w:rPr>
          <w:lang w:val="en-US"/>
        </w:rPr>
        <w:t>Introduction</w:t>
      </w:r>
    </w:p>
    <w:p w14:paraId="298B98E4" w14:textId="77777777" w:rsidR="00043014" w:rsidRDefault="00043014"/>
    <w:p w14:paraId="6E417343" w14:textId="79928829" w:rsidR="006D69DE" w:rsidRDefault="006D69DE" w:rsidP="006D69DE">
      <w:pPr>
        <w:jc w:val="both"/>
      </w:pPr>
      <w:r>
        <w:t xml:space="preserve">During C&amp;S and RFM joint meeting in Huntsville 2023, </w:t>
      </w:r>
      <w:r w:rsidRPr="006D69DE">
        <w:t xml:space="preserve">SEA AD and C&amp;S chair proposed to perform a harmonization of the GBs related to </w:t>
      </w:r>
      <w:r w:rsidR="006C000E">
        <w:t>VCM.</w:t>
      </w:r>
    </w:p>
    <w:p w14:paraId="0AEB19D7" w14:textId="77777777" w:rsidR="006D69DE" w:rsidRDefault="006D69DE" w:rsidP="006D69DE">
      <w:pPr>
        <w:jc w:val="both"/>
      </w:pPr>
    </w:p>
    <w:p w14:paraId="6A5117AB" w14:textId="2E4019EF" w:rsidR="006D69DE" w:rsidRDefault="006D69DE" w:rsidP="006D69DE">
      <w:pPr>
        <w:jc w:val="both"/>
      </w:pPr>
      <w:r w:rsidRPr="006D69DE">
        <w:t>Namely, it was observed that DVB-S2 GB</w:t>
      </w:r>
      <w:r w:rsidR="006C000E">
        <w:t xml:space="preserve"> </w:t>
      </w:r>
      <w:r w:rsidR="006C000E">
        <w:fldChar w:fldCharType="begin"/>
      </w:r>
      <w:r w:rsidR="006C000E">
        <w:instrText xml:space="preserve"> REF _Ref156214683 \r \h </w:instrText>
      </w:r>
      <w:r w:rsidR="006C000E">
        <w:fldChar w:fldCharType="separate"/>
      </w:r>
      <w:r w:rsidR="006C000E">
        <w:t>[RD2]</w:t>
      </w:r>
      <w:r w:rsidR="006C000E">
        <w:fldChar w:fldCharType="end"/>
      </w:r>
      <w:r w:rsidRPr="006D69DE">
        <w:t xml:space="preserve"> contains a VCM system description and performance results, while SCCC GB </w:t>
      </w:r>
      <w:r w:rsidR="00DC150F">
        <w:fldChar w:fldCharType="begin"/>
      </w:r>
      <w:r w:rsidR="00DC150F">
        <w:instrText xml:space="preserve"> REF _Ref156214810 \r \h </w:instrText>
      </w:r>
      <w:r w:rsidR="00DC150F">
        <w:fldChar w:fldCharType="separate"/>
      </w:r>
      <w:r w:rsidR="00DC150F">
        <w:t>[RD3]</w:t>
      </w:r>
      <w:r w:rsidR="00DC150F">
        <w:fldChar w:fldCharType="end"/>
      </w:r>
      <w:r w:rsidR="00DC150F">
        <w:t xml:space="preserve"> </w:t>
      </w:r>
      <w:r w:rsidRPr="006D69DE">
        <w:t>focuses on the physical layer performance only (BER/FER, synchronization, etc.).</w:t>
      </w:r>
    </w:p>
    <w:p w14:paraId="3171C2ED" w14:textId="77777777" w:rsidR="006D69DE" w:rsidRDefault="006D69DE" w:rsidP="006D69DE">
      <w:pPr>
        <w:jc w:val="both"/>
      </w:pPr>
    </w:p>
    <w:p w14:paraId="2C5C4835" w14:textId="767A8D4E" w:rsidR="006D69DE" w:rsidRDefault="006D69DE" w:rsidP="006D69DE">
      <w:pPr>
        <w:jc w:val="both"/>
      </w:pPr>
      <w:r>
        <w:t xml:space="preserve">In this respect, it was proposed to have a </w:t>
      </w:r>
      <w:r w:rsidR="00DC150F">
        <w:t xml:space="preserve">new </w:t>
      </w:r>
      <w:r>
        <w:t>project that would perform the followings:</w:t>
      </w:r>
    </w:p>
    <w:p w14:paraId="381B9C79" w14:textId="164E8E9F" w:rsidR="006D69DE" w:rsidRDefault="006D69DE" w:rsidP="006D69DE">
      <w:pPr>
        <w:pStyle w:val="ListParagraph"/>
        <w:numPr>
          <w:ilvl w:val="0"/>
          <w:numId w:val="2"/>
        </w:numPr>
        <w:jc w:val="both"/>
      </w:pPr>
      <w:r>
        <w:t>make SCCC and DVB-S2 GBs more harmonized each other, by focusing mostly on physical layer aspects;</w:t>
      </w:r>
    </w:p>
    <w:p w14:paraId="32C34A66" w14:textId="5EC136A5" w:rsidR="006D69DE" w:rsidRDefault="006D69DE" w:rsidP="006D69DE">
      <w:pPr>
        <w:pStyle w:val="ListParagraph"/>
        <w:numPr>
          <w:ilvl w:val="0"/>
          <w:numId w:val="2"/>
        </w:numPr>
        <w:jc w:val="both"/>
      </w:pPr>
      <w:r>
        <w:t>create a new VCM green book, that focuses on system results when using VCM with SCCC, DVB-S2, or LDPC codes</w:t>
      </w:r>
      <w:r w:rsidR="00EA059F">
        <w:t>, that pairs the VCM BB</w:t>
      </w:r>
      <w:r>
        <w:t>.</w:t>
      </w:r>
    </w:p>
    <w:p w14:paraId="41C89E75" w14:textId="77777777" w:rsidR="006D69DE" w:rsidRDefault="006D69DE" w:rsidP="006D69DE">
      <w:pPr>
        <w:jc w:val="both"/>
      </w:pPr>
    </w:p>
    <w:p w14:paraId="37918972" w14:textId="4333A833" w:rsidR="006D69DE" w:rsidRDefault="006D69DE" w:rsidP="006D69DE">
      <w:pPr>
        <w:jc w:val="both"/>
      </w:pPr>
      <w:r w:rsidRPr="006D69DE">
        <w:t xml:space="preserve">As first step, C&amp;S chair </w:t>
      </w:r>
      <w:r>
        <w:t xml:space="preserve">provided for The Hague 2024 </w:t>
      </w:r>
      <w:r w:rsidRPr="006D69DE">
        <w:t xml:space="preserve">a </w:t>
      </w:r>
      <w:r>
        <w:t xml:space="preserve">draft </w:t>
      </w:r>
      <w:r w:rsidRPr="006D69DE">
        <w:t xml:space="preserve">concept paper </w:t>
      </w:r>
      <w:r>
        <w:t xml:space="preserve">about the </w:t>
      </w:r>
      <w:r w:rsidRPr="006D69DE">
        <w:t>VCM GB (AI_23_01</w:t>
      </w:r>
      <w:r w:rsidR="00F90CC8">
        <w:t xml:space="preserve">, </w:t>
      </w:r>
      <w:r w:rsidR="00F90CC8">
        <w:fldChar w:fldCharType="begin"/>
      </w:r>
      <w:r w:rsidR="00F90CC8">
        <w:instrText xml:space="preserve"> REF _Ref156215159 \r \h </w:instrText>
      </w:r>
      <w:r w:rsidR="00F90CC8">
        <w:fldChar w:fldCharType="separate"/>
      </w:r>
      <w:r w:rsidR="00F90CC8">
        <w:t>[RD5]</w:t>
      </w:r>
      <w:r w:rsidR="00F90CC8">
        <w:fldChar w:fldCharType="end"/>
      </w:r>
      <w:r w:rsidRPr="006D69DE">
        <w:t>) for formalizing better the proposal.</w:t>
      </w:r>
    </w:p>
    <w:p w14:paraId="18664AF2" w14:textId="0DE3DB90" w:rsidR="006D69DE" w:rsidRDefault="006D69DE" w:rsidP="006D69DE">
      <w:pPr>
        <w:jc w:val="both"/>
      </w:pPr>
      <w:r>
        <w:t xml:space="preserve">However, during the joint C&amp;S and RFM meeting, the WGs proposed to have an additional iteration (AI_23-11), by </w:t>
      </w:r>
      <w:r w:rsidR="00F90CC8">
        <w:t>also defining</w:t>
      </w:r>
      <w:r>
        <w:t xml:space="preserve"> a </w:t>
      </w:r>
      <w:proofErr w:type="spellStart"/>
      <w:r>
        <w:t>ToC</w:t>
      </w:r>
      <w:proofErr w:type="spellEnd"/>
      <w:r>
        <w:t xml:space="preserve">. In this way member agencies could better </w:t>
      </w:r>
      <w:r w:rsidR="00F90CC8">
        <w:t>understand</w:t>
      </w:r>
      <w:r>
        <w:t xml:space="preserve"> the objectives of the </w:t>
      </w:r>
      <w:r w:rsidR="00F90CC8">
        <w:t>proposed</w:t>
      </w:r>
      <w:r>
        <w:t xml:space="preserve"> GB, and evaluate how they can contribute to it.</w:t>
      </w:r>
    </w:p>
    <w:p w14:paraId="5EA45866" w14:textId="77777777" w:rsidR="00121B42" w:rsidRDefault="00121B42" w:rsidP="006D69DE">
      <w:pPr>
        <w:jc w:val="both"/>
      </w:pPr>
    </w:p>
    <w:p w14:paraId="71FB00BE" w14:textId="1822FE39" w:rsidR="00121B42" w:rsidRDefault="00121B42" w:rsidP="006D69DE">
      <w:pPr>
        <w:jc w:val="both"/>
      </w:pPr>
      <w:r>
        <w:t>Thus, this paper</w:t>
      </w:r>
      <w:r w:rsidR="00F90CC8">
        <w:t xml:space="preserve">, as </w:t>
      </w:r>
      <w:r>
        <w:t>response to AI_23-11, provides in the following section</w:t>
      </w:r>
      <w:r w:rsidR="00DC150F">
        <w:t>s</w:t>
      </w:r>
      <w:r>
        <w:t xml:space="preserve"> a </w:t>
      </w:r>
      <w:proofErr w:type="spellStart"/>
      <w:r>
        <w:t>ToC</w:t>
      </w:r>
      <w:proofErr w:type="spellEnd"/>
      <w:r>
        <w:t xml:space="preserve"> with a short description for each chapter.</w:t>
      </w:r>
    </w:p>
    <w:p w14:paraId="488B5799" w14:textId="77777777" w:rsidR="00121B42" w:rsidRDefault="00121B42" w:rsidP="006D69DE">
      <w:pPr>
        <w:jc w:val="both"/>
      </w:pPr>
    </w:p>
    <w:p w14:paraId="154CF0E2" w14:textId="25630706" w:rsidR="00121B42" w:rsidRDefault="00121B42" w:rsidP="00121B42">
      <w:pPr>
        <w:pStyle w:val="Heading1"/>
        <w:rPr>
          <w:lang w:val="en-US"/>
        </w:rPr>
      </w:pPr>
      <w:proofErr w:type="spellStart"/>
      <w:r>
        <w:rPr>
          <w:lang w:val="en-US"/>
        </w:rPr>
        <w:t>ToC</w:t>
      </w:r>
      <w:proofErr w:type="spellEnd"/>
    </w:p>
    <w:p w14:paraId="26FF6CF1" w14:textId="77777777" w:rsidR="00121B42" w:rsidRDefault="00121B42" w:rsidP="00121B42">
      <w:pPr>
        <w:rPr>
          <w:lang w:val="en-US"/>
        </w:rPr>
      </w:pPr>
    </w:p>
    <w:p w14:paraId="46816D93" w14:textId="61F7CC80" w:rsidR="00EC4BDE" w:rsidRDefault="00EC4BDE" w:rsidP="00DC150F">
      <w:pPr>
        <w:jc w:val="both"/>
        <w:rPr>
          <w:lang w:val="en-US"/>
        </w:rPr>
      </w:pPr>
      <w:r>
        <w:rPr>
          <w:lang w:val="en-US"/>
        </w:rPr>
        <w:t xml:space="preserve">In the following, </w:t>
      </w:r>
      <w:r w:rsidR="00DC150F">
        <w:rPr>
          <w:lang w:val="en-US"/>
        </w:rPr>
        <w:t>a</w:t>
      </w:r>
      <w:r>
        <w:rPr>
          <w:lang w:val="en-US"/>
        </w:rPr>
        <w:t xml:space="preserve"> propos</w:t>
      </w:r>
      <w:r w:rsidR="00DC150F">
        <w:rPr>
          <w:lang w:val="en-US"/>
        </w:rPr>
        <w:t>al for the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ToC</w:t>
      </w:r>
      <w:proofErr w:type="spellEnd"/>
      <w:r>
        <w:rPr>
          <w:lang w:val="en-US"/>
        </w:rPr>
        <w:t xml:space="preserve"> is reported. It is pointed out that</w:t>
      </w:r>
      <w:r w:rsidR="003463EF">
        <w:rPr>
          <w:lang w:val="en-US"/>
        </w:rPr>
        <w:t xml:space="preserve"> </w:t>
      </w:r>
      <w:r w:rsidR="00DC150F">
        <w:rPr>
          <w:lang w:val="en-US"/>
        </w:rPr>
        <w:t xml:space="preserve">such </w:t>
      </w:r>
      <w:proofErr w:type="spellStart"/>
      <w:r w:rsidR="003463EF">
        <w:rPr>
          <w:lang w:val="en-US"/>
        </w:rPr>
        <w:t>ToC</w:t>
      </w:r>
      <w:proofErr w:type="spellEnd"/>
      <w:r w:rsidR="003463EF">
        <w:rPr>
          <w:lang w:val="en-US"/>
        </w:rPr>
        <w:t xml:space="preserve"> shall not be considering binding for the future GB, but rather an indication of the intended content.</w:t>
      </w:r>
      <w:r w:rsidR="007C7DCF">
        <w:rPr>
          <w:lang w:val="en-US"/>
        </w:rPr>
        <w:t xml:space="preserve"> As such, the </w:t>
      </w:r>
      <w:proofErr w:type="spellStart"/>
      <w:r w:rsidR="007C7DCF">
        <w:rPr>
          <w:lang w:val="en-US"/>
        </w:rPr>
        <w:t>ToC</w:t>
      </w:r>
      <w:proofErr w:type="spellEnd"/>
      <w:r w:rsidR="007C7DCF">
        <w:rPr>
          <w:lang w:val="en-US"/>
        </w:rPr>
        <w:t xml:space="preserve"> may be adjusted as part of the normal work.</w:t>
      </w:r>
    </w:p>
    <w:p w14:paraId="7EAC5294" w14:textId="0FE91B91" w:rsidR="003463EF" w:rsidRDefault="003463EF" w:rsidP="00121B42">
      <w:pPr>
        <w:rPr>
          <w:lang w:val="en-US"/>
        </w:rPr>
      </w:pPr>
    </w:p>
    <w:p w14:paraId="7FBAA64B" w14:textId="3FB0AF3D" w:rsidR="00EC4BDE" w:rsidRDefault="00EC4BDE" w:rsidP="00121B4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1CA" w14:paraId="09B96E71" w14:textId="77777777" w:rsidTr="000051CA">
        <w:tc>
          <w:tcPr>
            <w:tcW w:w="9016" w:type="dxa"/>
          </w:tcPr>
          <w:p w14:paraId="74FAADEE" w14:textId="77777777" w:rsidR="00DC150F" w:rsidRDefault="00DC150F" w:rsidP="000051CA">
            <w:pPr>
              <w:rPr>
                <w:b/>
                <w:bCs/>
                <w:lang w:val="en-US"/>
              </w:rPr>
            </w:pPr>
          </w:p>
          <w:p w14:paraId="29CE990D" w14:textId="1EA32CCE" w:rsidR="000051CA" w:rsidRDefault="000051CA" w:rsidP="000051CA">
            <w:pPr>
              <w:rPr>
                <w:lang w:val="en-US"/>
              </w:rPr>
            </w:pPr>
            <w:r w:rsidRPr="003463EF">
              <w:rPr>
                <w:b/>
                <w:bCs/>
                <w:lang w:val="en-US"/>
              </w:rPr>
              <w:lastRenderedPageBreak/>
              <w:t>Section 1</w:t>
            </w:r>
            <w:r>
              <w:rPr>
                <w:lang w:val="en-US"/>
              </w:rPr>
              <w:t xml:space="preserve"> – Introduction</w:t>
            </w:r>
          </w:p>
          <w:p w14:paraId="75D263CE" w14:textId="77777777" w:rsidR="000051CA" w:rsidRDefault="000051CA" w:rsidP="000051CA">
            <w:pPr>
              <w:rPr>
                <w:lang w:val="en-US"/>
              </w:rPr>
            </w:pPr>
            <w:r>
              <w:rPr>
                <w:lang w:val="en-US"/>
              </w:rPr>
              <w:tab/>
              <w:t>Section 1.1 – Purpose and scope</w:t>
            </w:r>
          </w:p>
          <w:p w14:paraId="234BDF1B" w14:textId="77777777" w:rsidR="000051CA" w:rsidRDefault="000051CA" w:rsidP="000051CA">
            <w:pPr>
              <w:rPr>
                <w:lang w:val="en-US"/>
              </w:rPr>
            </w:pPr>
            <w:r>
              <w:rPr>
                <w:lang w:val="en-US"/>
              </w:rPr>
              <w:tab/>
              <w:t xml:space="preserve">Section 1.2 – Organization </w:t>
            </w:r>
          </w:p>
          <w:p w14:paraId="30BADFA8" w14:textId="77777777" w:rsidR="000051CA" w:rsidRDefault="000051CA" w:rsidP="000051CA">
            <w:pPr>
              <w:rPr>
                <w:lang w:val="en-US"/>
              </w:rPr>
            </w:pPr>
            <w:r>
              <w:rPr>
                <w:lang w:val="en-US"/>
              </w:rPr>
              <w:tab/>
              <w:t>Section 1.3 – Terminology</w:t>
            </w:r>
          </w:p>
          <w:p w14:paraId="0C230980" w14:textId="77777777" w:rsidR="000051CA" w:rsidRDefault="000051CA" w:rsidP="000051CA">
            <w:pPr>
              <w:rPr>
                <w:lang w:val="en-US"/>
              </w:rPr>
            </w:pPr>
            <w:r>
              <w:rPr>
                <w:lang w:val="en-US"/>
              </w:rPr>
              <w:tab/>
              <w:t>Section 1.4 – References</w:t>
            </w:r>
          </w:p>
          <w:p w14:paraId="37302255" w14:textId="77777777" w:rsidR="000051CA" w:rsidRDefault="000051CA" w:rsidP="000051CA">
            <w:pPr>
              <w:rPr>
                <w:b/>
                <w:bCs/>
                <w:lang w:val="en-US"/>
              </w:rPr>
            </w:pPr>
          </w:p>
          <w:p w14:paraId="4CA1DE83" w14:textId="77777777" w:rsidR="000051CA" w:rsidRDefault="000051CA" w:rsidP="000051CA">
            <w:pPr>
              <w:rPr>
                <w:lang w:val="en-US"/>
              </w:rPr>
            </w:pPr>
            <w:r w:rsidRPr="003463EF">
              <w:rPr>
                <w:b/>
                <w:bCs/>
                <w:lang w:val="en-US"/>
              </w:rPr>
              <w:t xml:space="preserve">Section 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lang w:val="en-US"/>
              </w:rPr>
              <w:t xml:space="preserve"> – VCM/ACM principles</w:t>
            </w:r>
          </w:p>
          <w:p w14:paraId="78E213F0" w14:textId="77777777" w:rsidR="000051CA" w:rsidRDefault="000051CA" w:rsidP="000051CA">
            <w:pPr>
              <w:rPr>
                <w:lang w:val="en-US"/>
              </w:rPr>
            </w:pPr>
            <w:r>
              <w:rPr>
                <w:lang w:val="en-US"/>
              </w:rPr>
              <w:tab/>
              <w:t xml:space="preserve">Section 2.1 – VCM </w:t>
            </w:r>
          </w:p>
          <w:p w14:paraId="1423E1EA" w14:textId="77777777" w:rsidR="000051CA" w:rsidRDefault="000051CA" w:rsidP="000051CA">
            <w:pPr>
              <w:rPr>
                <w:lang w:val="en-US"/>
              </w:rPr>
            </w:pPr>
            <w:r>
              <w:rPr>
                <w:lang w:val="en-US"/>
              </w:rPr>
              <w:tab/>
              <w:t>Section 2.2 – ACM</w:t>
            </w:r>
          </w:p>
          <w:p w14:paraId="3F9E8E12" w14:textId="77777777" w:rsidR="000051CA" w:rsidRDefault="000051CA" w:rsidP="000051CA">
            <w:pPr>
              <w:rPr>
                <w:lang w:val="en-US"/>
              </w:rPr>
            </w:pPr>
            <w:r>
              <w:rPr>
                <w:lang w:val="en-US"/>
              </w:rPr>
              <w:tab/>
              <w:t>Section 2.3 – Modulation and coding formats</w:t>
            </w:r>
          </w:p>
          <w:p w14:paraId="40BD2DFE" w14:textId="77777777" w:rsidR="000051CA" w:rsidRDefault="000051CA" w:rsidP="000051CA">
            <w:pPr>
              <w:rPr>
                <w:lang w:val="en-US"/>
              </w:rPr>
            </w:pPr>
            <w:r>
              <w:rPr>
                <w:lang w:val="en-US"/>
              </w:rPr>
              <w:tab/>
              <w:t>Section 2.4 – Physical layer frame</w:t>
            </w:r>
          </w:p>
          <w:p w14:paraId="349A40DE" w14:textId="77777777" w:rsidR="000051CA" w:rsidRDefault="000051CA" w:rsidP="000051CA">
            <w:pPr>
              <w:rPr>
                <w:lang w:val="en-US"/>
              </w:rPr>
            </w:pPr>
            <w:r>
              <w:rPr>
                <w:lang w:val="en-US"/>
              </w:rPr>
              <w:tab/>
              <w:t>Section 2.5 – Transfer frame encapsulation and validation</w:t>
            </w:r>
          </w:p>
          <w:p w14:paraId="1CB74517" w14:textId="77777777" w:rsidR="000051CA" w:rsidRDefault="000051CA" w:rsidP="000051CA">
            <w:pPr>
              <w:rPr>
                <w:lang w:val="en-US"/>
              </w:rPr>
            </w:pPr>
          </w:p>
          <w:p w14:paraId="3DE23EED" w14:textId="77777777" w:rsidR="000051CA" w:rsidRDefault="000051CA" w:rsidP="000051CA">
            <w:pPr>
              <w:rPr>
                <w:lang w:val="en-US"/>
              </w:rPr>
            </w:pPr>
            <w:r w:rsidRPr="003463EF">
              <w:rPr>
                <w:b/>
                <w:bCs/>
                <w:lang w:val="en-US"/>
              </w:rPr>
              <w:t>Section 3</w:t>
            </w:r>
            <w:r>
              <w:rPr>
                <w:lang w:val="en-US"/>
              </w:rPr>
              <w:t xml:space="preserve"> – VCM/ACM performance</w:t>
            </w:r>
          </w:p>
          <w:p w14:paraId="2B94CD16" w14:textId="77777777" w:rsidR="000051CA" w:rsidRDefault="000051CA" w:rsidP="000051CA">
            <w:pPr>
              <w:rPr>
                <w:lang w:val="en-US"/>
              </w:rPr>
            </w:pPr>
            <w:r>
              <w:rPr>
                <w:lang w:val="en-US"/>
              </w:rPr>
              <w:tab/>
              <w:t>Section 1.1 – Mission scenarios</w:t>
            </w:r>
          </w:p>
          <w:p w14:paraId="068C874F" w14:textId="77777777" w:rsidR="000051CA" w:rsidRDefault="000051CA" w:rsidP="000051CA">
            <w:pPr>
              <w:rPr>
                <w:lang w:val="en-US"/>
              </w:rPr>
            </w:pPr>
            <w:r>
              <w:rPr>
                <w:lang w:val="en-US"/>
              </w:rPr>
              <w:tab/>
              <w:t xml:space="preserve">Section 1.2 – Numerical results </w:t>
            </w:r>
          </w:p>
          <w:p w14:paraId="582F8BA8" w14:textId="77777777" w:rsidR="000051CA" w:rsidRDefault="000051CA" w:rsidP="000051CA">
            <w:pPr>
              <w:rPr>
                <w:lang w:val="en-US"/>
              </w:rPr>
            </w:pPr>
            <w:r>
              <w:rPr>
                <w:lang w:val="en-US"/>
              </w:rPr>
              <w:tab/>
              <w:t>Section 1.3 – HW-in-the-loop results</w:t>
            </w:r>
          </w:p>
          <w:p w14:paraId="330DA172" w14:textId="77777777" w:rsidR="000051CA" w:rsidRDefault="000051CA" w:rsidP="000051CA">
            <w:pPr>
              <w:rPr>
                <w:lang w:val="en-US"/>
              </w:rPr>
            </w:pPr>
          </w:p>
          <w:p w14:paraId="2CF75E18" w14:textId="77777777" w:rsidR="000051CA" w:rsidRDefault="000051CA" w:rsidP="000051CA">
            <w:pPr>
              <w:rPr>
                <w:lang w:val="en-US"/>
              </w:rPr>
            </w:pPr>
            <w:r w:rsidRPr="003463EF">
              <w:rPr>
                <w:b/>
                <w:bCs/>
                <w:lang w:val="en-US"/>
              </w:rPr>
              <w:t>Section 4</w:t>
            </w:r>
            <w:r>
              <w:rPr>
                <w:lang w:val="en-US"/>
              </w:rPr>
              <w:t xml:space="preserve"> – Conclusions</w:t>
            </w:r>
          </w:p>
          <w:p w14:paraId="0BEC77B7" w14:textId="77777777" w:rsidR="000051CA" w:rsidRDefault="000051CA" w:rsidP="003463EF">
            <w:pPr>
              <w:rPr>
                <w:lang w:val="en-US"/>
              </w:rPr>
            </w:pPr>
          </w:p>
        </w:tc>
      </w:tr>
    </w:tbl>
    <w:p w14:paraId="12E1F623" w14:textId="77777777" w:rsidR="000051CA" w:rsidRDefault="000051CA" w:rsidP="003463EF">
      <w:pPr>
        <w:rPr>
          <w:lang w:val="en-US"/>
        </w:rPr>
      </w:pPr>
    </w:p>
    <w:p w14:paraId="2F5007F3" w14:textId="1C14C019" w:rsidR="000051CA" w:rsidRDefault="000051CA" w:rsidP="00EA059F">
      <w:pPr>
        <w:jc w:val="both"/>
        <w:rPr>
          <w:lang w:val="en-US"/>
        </w:rPr>
      </w:pPr>
      <w:r w:rsidRPr="007C7DCF">
        <w:rPr>
          <w:b/>
          <w:bCs/>
          <w:lang w:val="en-US"/>
        </w:rPr>
        <w:t>Section 1</w:t>
      </w:r>
      <w:r w:rsidR="00EA059F">
        <w:rPr>
          <w:lang w:val="en-US"/>
        </w:rPr>
        <w:t xml:space="preserve"> will be </w:t>
      </w:r>
      <w:r>
        <w:rPr>
          <w:lang w:val="en-US"/>
        </w:rPr>
        <w:t xml:space="preserve">the standard </w:t>
      </w:r>
      <w:r w:rsidR="00EA059F">
        <w:rPr>
          <w:lang w:val="en-US"/>
        </w:rPr>
        <w:t xml:space="preserve">introductory </w:t>
      </w:r>
      <w:r>
        <w:rPr>
          <w:lang w:val="en-US"/>
        </w:rPr>
        <w:t xml:space="preserve">section of CCSDS books, </w:t>
      </w:r>
      <w:r w:rsidR="00EA059F">
        <w:rPr>
          <w:lang w:val="en-US"/>
        </w:rPr>
        <w:t xml:space="preserve">that </w:t>
      </w:r>
      <w:r>
        <w:rPr>
          <w:lang w:val="en-US"/>
        </w:rPr>
        <w:t>provid</w:t>
      </w:r>
      <w:r w:rsidR="00EA059F">
        <w:rPr>
          <w:lang w:val="en-US"/>
        </w:rPr>
        <w:t>es</w:t>
      </w:r>
      <w:r>
        <w:rPr>
          <w:lang w:val="en-US"/>
        </w:rPr>
        <w:t xml:space="preserve"> scope, organization, etc.</w:t>
      </w:r>
      <w:r w:rsidR="0033611F">
        <w:rPr>
          <w:lang w:val="en-US"/>
        </w:rPr>
        <w:t>, with main reference the VCM BB, and its daughter books, SCCC and DVB-S2.</w:t>
      </w:r>
    </w:p>
    <w:p w14:paraId="1B7780AD" w14:textId="77777777" w:rsidR="000051CA" w:rsidRDefault="000051CA" w:rsidP="00EA059F">
      <w:pPr>
        <w:jc w:val="both"/>
        <w:rPr>
          <w:lang w:val="en-US"/>
        </w:rPr>
      </w:pPr>
    </w:p>
    <w:p w14:paraId="3B6B1CD8" w14:textId="68DEDB2D" w:rsidR="000051CA" w:rsidRPr="000051CA" w:rsidRDefault="000051CA" w:rsidP="00EA059F">
      <w:pPr>
        <w:jc w:val="both"/>
      </w:pPr>
      <w:r w:rsidRPr="007C7DCF">
        <w:rPr>
          <w:b/>
          <w:bCs/>
          <w:lang w:val="en-US"/>
        </w:rPr>
        <w:t>Section 2</w:t>
      </w:r>
      <w:r>
        <w:rPr>
          <w:lang w:val="en-US"/>
        </w:rPr>
        <w:t xml:space="preserve"> instead shall provide </w:t>
      </w:r>
      <w:r w:rsidR="007C7DCF">
        <w:rPr>
          <w:lang w:val="en-US"/>
        </w:rPr>
        <w:t>principles</w:t>
      </w:r>
      <w:r>
        <w:rPr>
          <w:lang w:val="en-US"/>
        </w:rPr>
        <w:t xml:space="preserve"> of VCM/ACM, with a level </w:t>
      </w:r>
      <w:r>
        <w:t xml:space="preserve">of technical details in a style to help </w:t>
      </w:r>
      <w:r w:rsidR="007C7DCF">
        <w:t>readers</w:t>
      </w:r>
      <w:r>
        <w:t xml:space="preserve"> to get familiar with the topic. </w:t>
      </w:r>
      <w:r w:rsidR="00EA059F">
        <w:t>It</w:t>
      </w:r>
      <w:r>
        <w:t xml:space="preserve"> is foreseen to describe VCM and ACM basics (Section 2.1 </w:t>
      </w:r>
      <w:r w:rsidR="00EA059F">
        <w:t xml:space="preserve">and 2.2) and the modulation and coding formats adopted </w:t>
      </w:r>
      <w:r w:rsidR="0033611F">
        <w:t>by VCM when using</w:t>
      </w:r>
      <w:r w:rsidR="00EA059F">
        <w:t xml:space="preserve"> SCC</w:t>
      </w:r>
      <w:r w:rsidR="0033611F">
        <w:t xml:space="preserve">C, </w:t>
      </w:r>
      <w:r w:rsidR="00EA059F">
        <w:t>DVB</w:t>
      </w:r>
      <w:r w:rsidR="0033611F">
        <w:t xml:space="preserve">-S2, or </w:t>
      </w:r>
      <w:r w:rsidR="00EA059F">
        <w:t xml:space="preserve">LDPC </w:t>
      </w:r>
      <w:r w:rsidR="0033611F">
        <w:t xml:space="preserve">codes </w:t>
      </w:r>
      <w:r w:rsidR="00EA059F">
        <w:t xml:space="preserve">(Section 2.3), </w:t>
      </w:r>
      <w:r w:rsidR="0033611F">
        <w:t xml:space="preserve">while </w:t>
      </w:r>
      <w:r w:rsidR="00EA059F">
        <w:t>highlighting common aspects and differences. Then, the concept</w:t>
      </w:r>
      <w:r w:rsidR="007C7DCF">
        <w:t xml:space="preserve"> of</w:t>
      </w:r>
      <w:r w:rsidR="00EA059F">
        <w:t xml:space="preserve"> physical</w:t>
      </w:r>
      <w:r w:rsidR="0033611F">
        <w:t>-</w:t>
      </w:r>
      <w:r w:rsidR="00EA059F">
        <w:t xml:space="preserve">layer </w:t>
      </w:r>
      <w:r w:rsidR="0033611F">
        <w:t xml:space="preserve">(PL) </w:t>
      </w:r>
      <w:r w:rsidR="00EA059F">
        <w:t xml:space="preserve">frame structure (Section 2.4) is introduced, explaining how this is necessary for VCM/ACM, </w:t>
      </w:r>
      <w:r w:rsidR="0033611F">
        <w:t xml:space="preserve">and by </w:t>
      </w:r>
      <w:r w:rsidR="00EA059F">
        <w:t xml:space="preserve">comparing the </w:t>
      </w:r>
      <w:r w:rsidR="007C7DCF">
        <w:t xml:space="preserve">PL frame of each </w:t>
      </w:r>
      <w:r w:rsidR="0033611F">
        <w:t>VCM type (</w:t>
      </w:r>
      <w:r w:rsidR="00EA059F">
        <w:t>Type 1 and Type 2</w:t>
      </w:r>
      <w:r w:rsidR="0033611F">
        <w:t>)</w:t>
      </w:r>
      <w:r w:rsidR="00EA059F">
        <w:t>.</w:t>
      </w:r>
      <w:r w:rsidR="0033611F">
        <w:t xml:space="preserve">  Finally, it is explained how transfer frame</w:t>
      </w:r>
      <w:r w:rsidR="007C7DCF">
        <w:t>s</w:t>
      </w:r>
      <w:r w:rsidR="0033611F">
        <w:t xml:space="preserve"> </w:t>
      </w:r>
      <w:r w:rsidR="007C7DCF">
        <w:t xml:space="preserve">are </w:t>
      </w:r>
      <w:r w:rsidR="0033611F">
        <w:t>encapsulat</w:t>
      </w:r>
      <w:r w:rsidR="007C7DCF">
        <w:t>ed</w:t>
      </w:r>
      <w:r w:rsidR="0033611F">
        <w:t xml:space="preserve"> in PL frames is done, and how these are extracted and validated at the receiving end</w:t>
      </w:r>
      <w:r w:rsidR="00954C90">
        <w:t xml:space="preserve"> (Section 2.5)</w:t>
      </w:r>
      <w:r w:rsidR="0033611F">
        <w:t>.</w:t>
      </w:r>
    </w:p>
    <w:p w14:paraId="364D5954" w14:textId="18476CB9" w:rsidR="003463EF" w:rsidRPr="000051CA" w:rsidRDefault="003463EF" w:rsidP="003463EF"/>
    <w:p w14:paraId="38976E4A" w14:textId="77777777" w:rsidR="00965C91" w:rsidRDefault="00954C90" w:rsidP="00934A24">
      <w:pPr>
        <w:jc w:val="both"/>
        <w:rPr>
          <w:lang w:val="en-US"/>
        </w:rPr>
      </w:pPr>
      <w:r w:rsidRPr="007C7DCF">
        <w:rPr>
          <w:b/>
          <w:bCs/>
          <w:lang w:val="en-US"/>
        </w:rPr>
        <w:t>Section 3</w:t>
      </w:r>
      <w:r>
        <w:rPr>
          <w:lang w:val="en-US"/>
        </w:rPr>
        <w:t xml:space="preserve"> focuses on the VCM/ACM performance for specific mission scenarios (Section 1.1), taking into account (as minimum) Earth Observation satellites in Sun-synchronous orbit, </w:t>
      </w:r>
      <w:r w:rsidR="00934A24">
        <w:rPr>
          <w:lang w:val="en-US"/>
        </w:rPr>
        <w:t>Science missions in LEO/HEO and at Lagrange points (TBC)</w:t>
      </w:r>
      <w:r>
        <w:rPr>
          <w:lang w:val="en-US"/>
        </w:rPr>
        <w:t xml:space="preserve">. </w:t>
      </w:r>
    </w:p>
    <w:p w14:paraId="51F12B2A" w14:textId="36B43781" w:rsidR="003463EF" w:rsidRDefault="00934A24" w:rsidP="00934A24">
      <w:pPr>
        <w:jc w:val="both"/>
        <w:rPr>
          <w:lang w:val="en-US"/>
        </w:rPr>
      </w:pPr>
      <w:r>
        <w:rPr>
          <w:lang w:val="en-US"/>
        </w:rPr>
        <w:t>The</w:t>
      </w:r>
      <w:r w:rsidR="00965C91">
        <w:rPr>
          <w:lang w:val="en-US"/>
        </w:rPr>
        <w:t>n, the</w:t>
      </w:r>
      <w:r>
        <w:rPr>
          <w:lang w:val="en-US"/>
        </w:rPr>
        <w:t xml:space="preserve"> performance of VCM/ACM </w:t>
      </w:r>
      <w:r w:rsidR="007C7DCF">
        <w:rPr>
          <w:lang w:val="en-US"/>
        </w:rPr>
        <w:t xml:space="preserve">for these scenarios </w:t>
      </w:r>
      <w:r>
        <w:rPr>
          <w:lang w:val="en-US"/>
        </w:rPr>
        <w:t xml:space="preserve">will be </w:t>
      </w:r>
      <w:r w:rsidR="00965C91">
        <w:rPr>
          <w:lang w:val="en-US"/>
        </w:rPr>
        <w:t xml:space="preserve">reported </w:t>
      </w:r>
      <w:r>
        <w:rPr>
          <w:lang w:val="en-US"/>
        </w:rPr>
        <w:t xml:space="preserve">by means of Software simulations </w:t>
      </w:r>
      <w:r w:rsidR="00965C91">
        <w:rPr>
          <w:lang w:val="en-US"/>
        </w:rPr>
        <w:t xml:space="preserve">numerical results </w:t>
      </w:r>
      <w:r>
        <w:rPr>
          <w:lang w:val="en-US"/>
        </w:rPr>
        <w:t xml:space="preserve">(Section 1.2) and a HW-in-the-loop </w:t>
      </w:r>
      <w:r w:rsidR="00965C91">
        <w:rPr>
          <w:lang w:val="en-US"/>
        </w:rPr>
        <w:t xml:space="preserve">test results </w:t>
      </w:r>
      <w:r>
        <w:rPr>
          <w:lang w:val="en-US"/>
        </w:rPr>
        <w:t>(Section 1.3)</w:t>
      </w:r>
      <w:r w:rsidR="007C7DCF">
        <w:rPr>
          <w:lang w:val="en-US"/>
        </w:rPr>
        <w:t>. For these</w:t>
      </w:r>
      <w:r>
        <w:rPr>
          <w:lang w:val="en-US"/>
        </w:rPr>
        <w:t xml:space="preserve"> would be desirable NASA GSFC contribution (</w:t>
      </w:r>
      <w:r w:rsidR="00965C91">
        <w:rPr>
          <w:lang w:val="en-US"/>
        </w:rPr>
        <w:t xml:space="preserve">as </w:t>
      </w:r>
      <w:r w:rsidR="007C7DCF">
        <w:rPr>
          <w:lang w:val="en-US"/>
        </w:rPr>
        <w:t xml:space="preserve">was </w:t>
      </w:r>
      <w:r w:rsidR="00965C91">
        <w:rPr>
          <w:lang w:val="en-US"/>
        </w:rPr>
        <w:t xml:space="preserve">done in </w:t>
      </w:r>
      <w:r w:rsidR="00965C91">
        <w:rPr>
          <w:lang w:val="en-US"/>
        </w:rPr>
        <w:fldChar w:fldCharType="begin"/>
      </w:r>
      <w:r w:rsidR="00965C91">
        <w:rPr>
          <w:lang w:val="en-US"/>
        </w:rPr>
        <w:instrText xml:space="preserve"> REF _Ref156215147 \r \h </w:instrText>
      </w:r>
      <w:r w:rsidR="00965C91">
        <w:rPr>
          <w:lang w:val="en-US"/>
        </w:rPr>
      </w:r>
      <w:r w:rsidR="00965C91">
        <w:rPr>
          <w:lang w:val="en-US"/>
        </w:rPr>
        <w:fldChar w:fldCharType="separate"/>
      </w:r>
      <w:r w:rsidR="00965C91">
        <w:rPr>
          <w:lang w:val="en-US"/>
        </w:rPr>
        <w:t>[RD4]</w:t>
      </w:r>
      <w:r w:rsidR="00965C91">
        <w:rPr>
          <w:lang w:val="en-US"/>
        </w:rPr>
        <w:fldChar w:fldCharType="end"/>
      </w:r>
      <w:r>
        <w:rPr>
          <w:lang w:val="en-US"/>
        </w:rPr>
        <w:t>, Huntsville 2023) ESA ESTEC contribution (see input</w:t>
      </w:r>
      <w:r w:rsidR="00965C91">
        <w:rPr>
          <w:lang w:val="en-US"/>
        </w:rPr>
        <w:t xml:space="preserve"> </w:t>
      </w:r>
      <w:r w:rsidR="00965C91">
        <w:rPr>
          <w:lang w:val="en-US"/>
        </w:rPr>
        <w:fldChar w:fldCharType="begin"/>
      </w:r>
      <w:r w:rsidR="00965C91">
        <w:rPr>
          <w:lang w:val="en-US"/>
        </w:rPr>
        <w:instrText xml:space="preserve"> REF _Ref156215159 \r \h </w:instrText>
      </w:r>
      <w:r w:rsidR="00965C91">
        <w:rPr>
          <w:lang w:val="en-US"/>
        </w:rPr>
      </w:r>
      <w:r w:rsidR="00965C91">
        <w:rPr>
          <w:lang w:val="en-US"/>
        </w:rPr>
        <w:fldChar w:fldCharType="separate"/>
      </w:r>
      <w:r w:rsidR="00965C91">
        <w:rPr>
          <w:lang w:val="en-US"/>
        </w:rPr>
        <w:t>[RD5]</w:t>
      </w:r>
      <w:r w:rsidR="00965C91">
        <w:rPr>
          <w:lang w:val="en-US"/>
        </w:rPr>
        <w:fldChar w:fldCharType="end"/>
      </w:r>
      <w:r>
        <w:rPr>
          <w:lang w:val="en-US"/>
        </w:rPr>
        <w:t>, The Hague 2023), and CNES (see Annex B, of DVB-S2 GB</w:t>
      </w:r>
      <w:r w:rsidR="00965C91">
        <w:rPr>
          <w:lang w:val="en-US"/>
        </w:rPr>
        <w:t xml:space="preserve"> </w:t>
      </w:r>
      <w:r w:rsidR="00965C91">
        <w:rPr>
          <w:lang w:val="en-US"/>
        </w:rPr>
        <w:fldChar w:fldCharType="begin"/>
      </w:r>
      <w:r w:rsidR="00965C91">
        <w:rPr>
          <w:lang w:val="en-US"/>
        </w:rPr>
        <w:instrText xml:space="preserve"> REF _Ref156214683 \r \h </w:instrText>
      </w:r>
      <w:r w:rsidR="00965C91">
        <w:rPr>
          <w:lang w:val="en-US"/>
        </w:rPr>
      </w:r>
      <w:r w:rsidR="00965C91">
        <w:rPr>
          <w:lang w:val="en-US"/>
        </w:rPr>
        <w:fldChar w:fldCharType="separate"/>
      </w:r>
      <w:r w:rsidR="00965C91">
        <w:rPr>
          <w:lang w:val="en-US"/>
        </w:rPr>
        <w:t>[RD2]</w:t>
      </w:r>
      <w:r w:rsidR="00965C91">
        <w:rPr>
          <w:lang w:val="en-US"/>
        </w:rPr>
        <w:fldChar w:fldCharType="end"/>
      </w:r>
      <w:r>
        <w:rPr>
          <w:lang w:val="en-US"/>
        </w:rPr>
        <w:t>)</w:t>
      </w:r>
    </w:p>
    <w:p w14:paraId="506F9B17" w14:textId="182CBD2C" w:rsidR="00934A24" w:rsidRDefault="00934A24" w:rsidP="00934A24">
      <w:pPr>
        <w:jc w:val="both"/>
        <w:rPr>
          <w:lang w:val="en-US"/>
        </w:rPr>
      </w:pPr>
    </w:p>
    <w:p w14:paraId="58B2D5DA" w14:textId="68344EF0" w:rsidR="00EC4BDE" w:rsidRDefault="00965C91" w:rsidP="006D69DE">
      <w:pPr>
        <w:jc w:val="both"/>
        <w:rPr>
          <w:lang w:val="en-US"/>
        </w:rPr>
      </w:pPr>
      <w:r>
        <w:rPr>
          <w:lang w:val="en-US"/>
        </w:rPr>
        <w:t>Finally, the GB can draw conclusions (Section 4).</w:t>
      </w:r>
    </w:p>
    <w:p w14:paraId="556C9D02" w14:textId="77777777" w:rsidR="00EC4BDE" w:rsidRDefault="00EC4BDE" w:rsidP="006D69DE">
      <w:pPr>
        <w:jc w:val="both"/>
      </w:pPr>
    </w:p>
    <w:p w14:paraId="3A40843B" w14:textId="77777777" w:rsidR="00121B42" w:rsidRDefault="00121B42" w:rsidP="00121B42">
      <w:pPr>
        <w:jc w:val="both"/>
      </w:pPr>
    </w:p>
    <w:p w14:paraId="581DA14D" w14:textId="6E559C26" w:rsidR="00121B42" w:rsidRPr="00121B42" w:rsidRDefault="00121B42" w:rsidP="00121B42">
      <w:pPr>
        <w:pStyle w:val="Heading1"/>
        <w:rPr>
          <w:lang w:val="en-US"/>
        </w:rPr>
      </w:pPr>
      <w:r>
        <w:rPr>
          <w:lang w:val="en-US"/>
        </w:rPr>
        <w:t>Conclusions</w:t>
      </w:r>
    </w:p>
    <w:p w14:paraId="03C1E6F6" w14:textId="77777777" w:rsidR="00121B42" w:rsidRDefault="00121B42" w:rsidP="00121B42">
      <w:pPr>
        <w:rPr>
          <w:lang w:val="en-US"/>
        </w:rPr>
      </w:pPr>
    </w:p>
    <w:p w14:paraId="40C612A1" w14:textId="158D8716" w:rsidR="00121B42" w:rsidRDefault="00965C91" w:rsidP="00965C91">
      <w:pPr>
        <w:jc w:val="both"/>
        <w:rPr>
          <w:lang w:val="en-US"/>
        </w:rPr>
      </w:pPr>
      <w:r>
        <w:rPr>
          <w:lang w:val="en-US"/>
        </w:rPr>
        <w:lastRenderedPageBreak/>
        <w:t xml:space="preserve">A </w:t>
      </w:r>
      <w:proofErr w:type="spellStart"/>
      <w:r>
        <w:rPr>
          <w:lang w:val="en-US"/>
        </w:rPr>
        <w:t>ToC</w:t>
      </w:r>
      <w:proofErr w:type="spellEnd"/>
      <w:r>
        <w:rPr>
          <w:lang w:val="en-US"/>
        </w:rPr>
        <w:t xml:space="preserve"> for the potential VCM GB was provided as per AI_23-11 under RFM WG (recorded as AI_23-12 under C&amp;S WG).</w:t>
      </w:r>
    </w:p>
    <w:p w14:paraId="612587C6" w14:textId="77777777" w:rsidR="00965C91" w:rsidRDefault="00965C91" w:rsidP="00121B42">
      <w:pPr>
        <w:rPr>
          <w:lang w:val="en-US"/>
        </w:rPr>
      </w:pPr>
    </w:p>
    <w:p w14:paraId="011FFD57" w14:textId="77777777" w:rsidR="00965C91" w:rsidRPr="00121B42" w:rsidRDefault="00965C91" w:rsidP="00121B42">
      <w:pPr>
        <w:rPr>
          <w:lang w:val="en-US"/>
        </w:rPr>
      </w:pPr>
    </w:p>
    <w:p w14:paraId="1B94307A" w14:textId="3462FD6E" w:rsidR="00934A24" w:rsidRPr="00934A24" w:rsidRDefault="00934A24" w:rsidP="00934A24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1F146AD3" w14:textId="77777777" w:rsidR="00934A24" w:rsidRDefault="00934A24" w:rsidP="00934A24">
      <w:pPr>
        <w:rPr>
          <w:lang w:val="en-US"/>
        </w:rPr>
      </w:pPr>
    </w:p>
    <w:p w14:paraId="2ACFD50B" w14:textId="77777777" w:rsidR="00934A24" w:rsidRDefault="00934A24" w:rsidP="00934A24"/>
    <w:p w14:paraId="0D9EBD25" w14:textId="7495DA3D" w:rsidR="006C000E" w:rsidRPr="006C000E" w:rsidRDefault="006C000E" w:rsidP="00934A24">
      <w:pPr>
        <w:pStyle w:val="ListParagraph"/>
        <w:numPr>
          <w:ilvl w:val="0"/>
          <w:numId w:val="6"/>
        </w:numPr>
        <w:rPr>
          <w:lang w:val="en-US"/>
        </w:rPr>
      </w:pPr>
      <w:bookmarkStart w:id="0" w:name="_Ref156214597"/>
      <w:r w:rsidRPr="006C000E">
        <w:rPr>
          <w:lang w:val="en-US"/>
        </w:rPr>
        <w:t>CCSDS 431.1-B-1</w:t>
      </w:r>
      <w:r>
        <w:rPr>
          <w:lang w:val="en-US"/>
        </w:rPr>
        <w:t>, “Variable Coded Modulation Protocol”</w:t>
      </w:r>
      <w:bookmarkEnd w:id="0"/>
    </w:p>
    <w:p w14:paraId="1814E9CC" w14:textId="6D116E91" w:rsidR="00121B42" w:rsidRPr="00DC150F" w:rsidRDefault="00934A24" w:rsidP="00934A24">
      <w:pPr>
        <w:pStyle w:val="ListParagraph"/>
        <w:numPr>
          <w:ilvl w:val="0"/>
          <w:numId w:val="6"/>
        </w:numPr>
        <w:rPr>
          <w:lang w:val="en-US"/>
        </w:rPr>
      </w:pPr>
      <w:bookmarkStart w:id="1" w:name="_Ref156214683"/>
      <w:r>
        <w:t>CCSDS 130.12-G-2</w:t>
      </w:r>
      <w:r w:rsidR="006C000E">
        <w:t>, “CCSDS Protocols over DVB-S2 – Summary of definition, implementation, and performance”</w:t>
      </w:r>
      <w:bookmarkEnd w:id="1"/>
    </w:p>
    <w:p w14:paraId="56EDB464" w14:textId="732895DA" w:rsidR="00DC150F" w:rsidRDefault="00DC150F" w:rsidP="00934A24">
      <w:pPr>
        <w:pStyle w:val="ListParagraph"/>
        <w:numPr>
          <w:ilvl w:val="0"/>
          <w:numId w:val="6"/>
        </w:numPr>
        <w:rPr>
          <w:lang w:val="en-US"/>
        </w:rPr>
      </w:pPr>
      <w:bookmarkStart w:id="2" w:name="_Ref156214810"/>
      <w:r>
        <w:rPr>
          <w:lang w:val="en-US"/>
        </w:rPr>
        <w:t>CCSDS 130.11-G-2, “SCCC – summary of definition and performance”</w:t>
      </w:r>
      <w:bookmarkEnd w:id="2"/>
    </w:p>
    <w:p w14:paraId="2C57CFCF" w14:textId="0D29B1AB" w:rsidR="00965C91" w:rsidRDefault="00965C91" w:rsidP="00934A24">
      <w:pPr>
        <w:pStyle w:val="ListParagraph"/>
        <w:numPr>
          <w:ilvl w:val="0"/>
          <w:numId w:val="6"/>
        </w:numPr>
        <w:rPr>
          <w:lang w:val="en-US"/>
        </w:rPr>
      </w:pPr>
      <w:bookmarkStart w:id="3" w:name="_Ref156215147"/>
      <w:r>
        <w:rPr>
          <w:lang w:val="en-US"/>
        </w:rPr>
        <w:t xml:space="preserve">W. Fong, W. Lee, “CCSDS VCM analysis”, </w:t>
      </w:r>
      <w:r>
        <w:rPr>
          <w:lang w:val="en-US"/>
        </w:rPr>
        <w:t>SLS-CS_23-01</w:t>
      </w:r>
      <w:r>
        <w:rPr>
          <w:lang w:val="en-US"/>
        </w:rPr>
        <w:t>.</w:t>
      </w:r>
      <w:bookmarkEnd w:id="3"/>
    </w:p>
    <w:p w14:paraId="55187BC3" w14:textId="641F7AA3" w:rsidR="00965C91" w:rsidRPr="00934A24" w:rsidRDefault="00965C91" w:rsidP="00934A24">
      <w:pPr>
        <w:pStyle w:val="ListParagraph"/>
        <w:numPr>
          <w:ilvl w:val="0"/>
          <w:numId w:val="6"/>
        </w:numPr>
        <w:rPr>
          <w:lang w:val="en-US"/>
        </w:rPr>
      </w:pPr>
      <w:bookmarkStart w:id="4" w:name="_Ref156215159"/>
      <w:r>
        <w:rPr>
          <w:lang w:val="en-US"/>
        </w:rPr>
        <w:t xml:space="preserve">A. Modenini, “VCM </w:t>
      </w:r>
      <w:proofErr w:type="spellStart"/>
      <w:r>
        <w:rPr>
          <w:lang w:val="en-US"/>
        </w:rPr>
        <w:t>greenbook</w:t>
      </w:r>
      <w:proofErr w:type="spellEnd"/>
      <w:r>
        <w:rPr>
          <w:lang w:val="en-US"/>
        </w:rPr>
        <w:t xml:space="preserve"> project and ESA prototype”, SLS-CS_23-09.</w:t>
      </w:r>
      <w:bookmarkEnd w:id="4"/>
    </w:p>
    <w:sectPr w:rsidR="00965C91" w:rsidRPr="00934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613E8"/>
    <w:multiLevelType w:val="hybridMultilevel"/>
    <w:tmpl w:val="A14661C0"/>
    <w:lvl w:ilvl="0" w:tplc="08D07EFE">
      <w:start w:val="1"/>
      <w:numFmt w:val="decimal"/>
      <w:lvlText w:val="[RD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D5C16"/>
    <w:multiLevelType w:val="hybridMultilevel"/>
    <w:tmpl w:val="2978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26580"/>
    <w:multiLevelType w:val="multilevel"/>
    <w:tmpl w:val="B352D67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48077390">
    <w:abstractNumId w:val="2"/>
  </w:num>
  <w:num w:numId="2" w16cid:durableId="426271385">
    <w:abstractNumId w:val="1"/>
  </w:num>
  <w:num w:numId="3" w16cid:durableId="1039357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12588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82411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4829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F5"/>
    <w:rsid w:val="000051CA"/>
    <w:rsid w:val="000063BF"/>
    <w:rsid w:val="00043014"/>
    <w:rsid w:val="00121B42"/>
    <w:rsid w:val="0033611F"/>
    <w:rsid w:val="003463EF"/>
    <w:rsid w:val="00395D1D"/>
    <w:rsid w:val="004233AB"/>
    <w:rsid w:val="00427E60"/>
    <w:rsid w:val="006C000E"/>
    <w:rsid w:val="006D69DE"/>
    <w:rsid w:val="00740BF5"/>
    <w:rsid w:val="00743ABA"/>
    <w:rsid w:val="007C7DCF"/>
    <w:rsid w:val="00934A24"/>
    <w:rsid w:val="00954C90"/>
    <w:rsid w:val="00965C91"/>
    <w:rsid w:val="00D60FB7"/>
    <w:rsid w:val="00D869C0"/>
    <w:rsid w:val="00DC150F"/>
    <w:rsid w:val="00EA059F"/>
    <w:rsid w:val="00EC4BDE"/>
    <w:rsid w:val="00F130AD"/>
    <w:rsid w:val="00F3682B"/>
    <w:rsid w:val="00F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0592"/>
  <w15:chartTrackingRefBased/>
  <w15:docId w15:val="{6E0A814A-A96C-4707-9858-03C051D1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8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82B"/>
    <w:pPr>
      <w:numPr>
        <w:numId w:val="1"/>
      </w:numPr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82B"/>
    <w:rPr>
      <w:rFonts w:ascii="Times New Roman" w:eastAsia="Times New Roman" w:hAnsi="Times New Roman" w:cs="Times New Roman"/>
      <w:b/>
      <w:kern w:val="0"/>
      <w:sz w:val="24"/>
      <w:szCs w:val="24"/>
      <w:u w:val="single"/>
      <w14:ligatures w14:val="none"/>
    </w:rPr>
  </w:style>
  <w:style w:type="paragraph" w:styleId="ListParagraph">
    <w:name w:val="List Paragraph"/>
    <w:basedOn w:val="Normal"/>
    <w:uiPriority w:val="34"/>
    <w:qFormat/>
    <w:rsid w:val="00F3682B"/>
    <w:pPr>
      <w:ind w:left="720"/>
      <w:contextualSpacing/>
    </w:pPr>
  </w:style>
  <w:style w:type="table" w:styleId="TableGrid">
    <w:name w:val="Table Grid"/>
    <w:basedOn w:val="TableNormal"/>
    <w:uiPriority w:val="39"/>
    <w:rsid w:val="0000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705</Words>
  <Characters>3958</Characters>
  <Application>Microsoft Office Word</Application>
  <DocSecurity>0</DocSecurity>
  <Lines>791</Lines>
  <Paragraphs>388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Modenini</dc:creator>
  <cp:keywords/>
  <dc:description/>
  <cp:lastModifiedBy>Andrea Modenini</cp:lastModifiedBy>
  <cp:revision>9</cp:revision>
  <dcterms:created xsi:type="dcterms:W3CDTF">2024-01-14T14:24:00Z</dcterms:created>
  <dcterms:modified xsi:type="dcterms:W3CDTF">2024-01-15T14:38:00Z</dcterms:modified>
</cp:coreProperties>
</file>