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4CC3" w14:textId="0EF7D44A" w:rsidR="00C95B8B" w:rsidRDefault="00C95B8B" w:rsidP="00C95B8B">
      <w:r>
        <w:t>A graphical depiction of the layers of encoding and field values using CBOR terminology</w:t>
      </w:r>
      <w:r w:rsidR="00995A4D">
        <w:t xml:space="preserve"> for layers:</w:t>
      </w:r>
    </w:p>
    <w:tbl>
      <w:tblPr>
        <w:tblStyle w:val="TableGrid"/>
        <w:tblW w:w="4736" w:type="pct"/>
        <w:tblLook w:val="04A0" w:firstRow="1" w:lastRow="0" w:firstColumn="1" w:lastColumn="0" w:noHBand="0" w:noVBand="1"/>
      </w:tblPr>
      <w:tblGrid>
        <w:gridCol w:w="1209"/>
        <w:gridCol w:w="1117"/>
        <w:gridCol w:w="1118"/>
        <w:gridCol w:w="1118"/>
        <w:gridCol w:w="1118"/>
        <w:gridCol w:w="1118"/>
        <w:gridCol w:w="1119"/>
        <w:gridCol w:w="939"/>
      </w:tblGrid>
      <w:tr w:rsidR="00A63F17" w14:paraId="482703B3" w14:textId="77777777" w:rsidTr="00A63F17">
        <w:tc>
          <w:tcPr>
            <w:tcW w:w="683" w:type="pct"/>
          </w:tcPr>
          <w:p w14:paraId="37309342" w14:textId="76116D22" w:rsidR="00A63F17" w:rsidRPr="00C95B8B" w:rsidRDefault="00A63F17" w:rsidP="00514281">
            <w:pPr>
              <w:rPr>
                <w:b/>
                <w:bCs/>
              </w:rPr>
            </w:pPr>
            <w:r w:rsidRPr="00C95B8B">
              <w:rPr>
                <w:b/>
                <w:bCs/>
              </w:rPr>
              <w:t>Sequence</w:t>
            </w:r>
          </w:p>
        </w:tc>
        <w:tc>
          <w:tcPr>
            <w:tcW w:w="1893" w:type="pct"/>
            <w:gridSpan w:val="3"/>
          </w:tcPr>
          <w:p w14:paraId="5D8E0A37" w14:textId="77777777" w:rsidR="00A63F17" w:rsidRDefault="00A63F17" w:rsidP="00514281">
            <w:r>
              <w:t>Item #1</w:t>
            </w:r>
          </w:p>
        </w:tc>
        <w:tc>
          <w:tcPr>
            <w:tcW w:w="631" w:type="pct"/>
            <w:vMerge w:val="restart"/>
            <w:vAlign w:val="center"/>
          </w:tcPr>
          <w:p w14:paraId="2D2AC583" w14:textId="66053AF0" w:rsidR="00A63F17" w:rsidRDefault="00A63F17" w:rsidP="00A63F17">
            <w:pPr>
              <w:jc w:val="center"/>
            </w:pPr>
            <w:r>
              <w:t>…</w:t>
            </w:r>
          </w:p>
        </w:tc>
        <w:tc>
          <w:tcPr>
            <w:tcW w:w="1793" w:type="pct"/>
            <w:gridSpan w:val="3"/>
          </w:tcPr>
          <w:p w14:paraId="5CE7EAC9" w14:textId="77777777" w:rsidR="00A63F17" w:rsidRDefault="00A63F17" w:rsidP="00514281">
            <w:r>
              <w:t>Item #N</w:t>
            </w:r>
          </w:p>
        </w:tc>
      </w:tr>
      <w:tr w:rsidR="00A63F17" w14:paraId="0FC65A62" w14:textId="77777777" w:rsidTr="00C95B8B">
        <w:tc>
          <w:tcPr>
            <w:tcW w:w="683" w:type="pct"/>
          </w:tcPr>
          <w:p w14:paraId="1BC5CC56" w14:textId="1594AA97" w:rsidR="00A63F17" w:rsidRPr="00C95B8B" w:rsidRDefault="00A63F17" w:rsidP="00514281">
            <w:pPr>
              <w:rPr>
                <w:b/>
                <w:bCs/>
              </w:rPr>
            </w:pPr>
            <w:r w:rsidRPr="00C95B8B">
              <w:rPr>
                <w:b/>
                <w:bCs/>
              </w:rPr>
              <w:t>Headers</w:t>
            </w:r>
          </w:p>
        </w:tc>
        <w:tc>
          <w:tcPr>
            <w:tcW w:w="1262" w:type="pct"/>
            <w:gridSpan w:val="2"/>
          </w:tcPr>
          <w:p w14:paraId="0E3CBEB6" w14:textId="77777777" w:rsidR="00A63F17" w:rsidRDefault="00A63F17" w:rsidP="00514281">
            <w:r>
              <w:t>Head</w:t>
            </w:r>
          </w:p>
        </w:tc>
        <w:tc>
          <w:tcPr>
            <w:tcW w:w="631" w:type="pct"/>
          </w:tcPr>
          <w:p w14:paraId="4B6CF9D3" w14:textId="77777777" w:rsidR="00A63F17" w:rsidRDefault="00A63F17" w:rsidP="00514281">
            <w:r>
              <w:t>Content</w:t>
            </w:r>
          </w:p>
        </w:tc>
        <w:tc>
          <w:tcPr>
            <w:tcW w:w="631" w:type="pct"/>
            <w:vMerge/>
          </w:tcPr>
          <w:p w14:paraId="2EB8E5DA" w14:textId="403A61C5" w:rsidR="00A63F17" w:rsidRDefault="00A63F17" w:rsidP="00514281">
            <w:pPr>
              <w:jc w:val="center"/>
            </w:pPr>
          </w:p>
        </w:tc>
        <w:tc>
          <w:tcPr>
            <w:tcW w:w="1263" w:type="pct"/>
            <w:gridSpan w:val="2"/>
          </w:tcPr>
          <w:p w14:paraId="065699A4" w14:textId="77777777" w:rsidR="00A63F17" w:rsidRDefault="00A63F17" w:rsidP="00514281">
            <w:r>
              <w:t>Head</w:t>
            </w:r>
          </w:p>
        </w:tc>
        <w:tc>
          <w:tcPr>
            <w:tcW w:w="530" w:type="pct"/>
          </w:tcPr>
          <w:p w14:paraId="4350D9F5" w14:textId="77777777" w:rsidR="00A63F17" w:rsidRDefault="00A63F17" w:rsidP="00514281">
            <w:r>
              <w:t>Content</w:t>
            </w:r>
          </w:p>
        </w:tc>
      </w:tr>
      <w:tr w:rsidR="00A63F17" w14:paraId="510DC734" w14:textId="77777777" w:rsidTr="00C95B8B">
        <w:tc>
          <w:tcPr>
            <w:tcW w:w="683" w:type="pct"/>
          </w:tcPr>
          <w:p w14:paraId="478614ED" w14:textId="03611270" w:rsidR="00A63F17" w:rsidRPr="00C95B8B" w:rsidRDefault="00A63F17" w:rsidP="00514281">
            <w:pPr>
              <w:rPr>
                <w:b/>
                <w:bCs/>
              </w:rPr>
            </w:pPr>
            <w:r w:rsidRPr="00C95B8B">
              <w:rPr>
                <w:b/>
                <w:bCs/>
              </w:rPr>
              <w:t>Fields</w:t>
            </w:r>
          </w:p>
        </w:tc>
        <w:tc>
          <w:tcPr>
            <w:tcW w:w="631" w:type="pct"/>
          </w:tcPr>
          <w:p w14:paraId="7DDDB231" w14:textId="77777777" w:rsidR="00A63F17" w:rsidRDefault="00A63F17" w:rsidP="00514281">
            <w:r>
              <w:t>Major Type</w:t>
            </w:r>
          </w:p>
        </w:tc>
        <w:tc>
          <w:tcPr>
            <w:tcW w:w="631" w:type="pct"/>
          </w:tcPr>
          <w:p w14:paraId="3D0A09CC" w14:textId="77777777" w:rsidR="00A63F17" w:rsidRDefault="00A63F17" w:rsidP="00514281">
            <w:r>
              <w:t>Argument</w:t>
            </w:r>
          </w:p>
        </w:tc>
        <w:tc>
          <w:tcPr>
            <w:tcW w:w="631" w:type="pct"/>
          </w:tcPr>
          <w:p w14:paraId="4526A4A9" w14:textId="77777777" w:rsidR="00A63F17" w:rsidRDefault="00A63F17" w:rsidP="00514281">
            <w:r>
              <w:t>Byte String</w:t>
            </w:r>
          </w:p>
        </w:tc>
        <w:tc>
          <w:tcPr>
            <w:tcW w:w="631" w:type="pct"/>
            <w:vMerge/>
          </w:tcPr>
          <w:p w14:paraId="7687C128" w14:textId="47144CEC" w:rsidR="00A63F17" w:rsidRDefault="00A63F17" w:rsidP="00514281">
            <w:pPr>
              <w:jc w:val="center"/>
            </w:pPr>
          </w:p>
        </w:tc>
        <w:tc>
          <w:tcPr>
            <w:tcW w:w="631" w:type="pct"/>
          </w:tcPr>
          <w:p w14:paraId="510A0C99" w14:textId="77777777" w:rsidR="00A63F17" w:rsidRDefault="00A63F17" w:rsidP="00514281">
            <w:r>
              <w:t>Major Type</w:t>
            </w:r>
          </w:p>
        </w:tc>
        <w:tc>
          <w:tcPr>
            <w:tcW w:w="632" w:type="pct"/>
          </w:tcPr>
          <w:p w14:paraId="0992272C" w14:textId="77777777" w:rsidR="00A63F17" w:rsidRDefault="00A63F17" w:rsidP="00514281">
            <w:r>
              <w:t>Argument</w:t>
            </w:r>
          </w:p>
        </w:tc>
        <w:tc>
          <w:tcPr>
            <w:tcW w:w="530" w:type="pct"/>
          </w:tcPr>
          <w:p w14:paraId="46F57171" w14:textId="77777777" w:rsidR="00A63F17" w:rsidRDefault="00A63F17" w:rsidP="00514281">
            <w:r>
              <w:t>Byte String</w:t>
            </w:r>
          </w:p>
        </w:tc>
      </w:tr>
      <w:tr w:rsidR="00A63F17" w14:paraId="646297D2" w14:textId="77777777" w:rsidTr="00C95B8B">
        <w:tc>
          <w:tcPr>
            <w:tcW w:w="683" w:type="pct"/>
          </w:tcPr>
          <w:p w14:paraId="189FF6DA" w14:textId="77777777" w:rsidR="00A63F17" w:rsidRPr="00C95B8B" w:rsidRDefault="00A63F17" w:rsidP="00514281">
            <w:pPr>
              <w:rPr>
                <w:b/>
                <w:bCs/>
              </w:rPr>
            </w:pPr>
            <w:r w:rsidRPr="00C95B8B">
              <w:rPr>
                <w:b/>
                <w:bCs/>
              </w:rPr>
              <w:t>Values</w:t>
            </w:r>
          </w:p>
        </w:tc>
        <w:tc>
          <w:tcPr>
            <w:tcW w:w="631" w:type="pct"/>
          </w:tcPr>
          <w:p w14:paraId="4BCDBE52" w14:textId="77777777" w:rsidR="00A63F17" w:rsidRDefault="00A63F17" w:rsidP="00514281">
            <w:r>
              <w:t>2</w:t>
            </w:r>
          </w:p>
        </w:tc>
        <w:tc>
          <w:tcPr>
            <w:tcW w:w="631" w:type="pct"/>
          </w:tcPr>
          <w:p w14:paraId="2F0B2150" w14:textId="77777777" w:rsidR="00A63F17" w:rsidRDefault="00A63F17" w:rsidP="00514281">
            <w:r>
              <w:t>Non-zero length</w:t>
            </w:r>
          </w:p>
        </w:tc>
        <w:tc>
          <w:tcPr>
            <w:tcW w:w="631" w:type="pct"/>
          </w:tcPr>
          <w:p w14:paraId="5909C584" w14:textId="77777777" w:rsidR="00A63F17" w:rsidRDefault="00A63F17" w:rsidP="00514281">
            <w:r>
              <w:t>Non-empty string</w:t>
            </w:r>
          </w:p>
        </w:tc>
        <w:tc>
          <w:tcPr>
            <w:tcW w:w="631" w:type="pct"/>
            <w:vMerge/>
          </w:tcPr>
          <w:p w14:paraId="66EB2F6B" w14:textId="72BF3049" w:rsidR="00A63F17" w:rsidRDefault="00A63F17" w:rsidP="00514281">
            <w:pPr>
              <w:jc w:val="center"/>
            </w:pPr>
          </w:p>
        </w:tc>
        <w:tc>
          <w:tcPr>
            <w:tcW w:w="631" w:type="pct"/>
          </w:tcPr>
          <w:p w14:paraId="67870D3C" w14:textId="77777777" w:rsidR="00A63F17" w:rsidRDefault="00A63F17" w:rsidP="00514281">
            <w:r>
              <w:t>2</w:t>
            </w:r>
          </w:p>
        </w:tc>
        <w:tc>
          <w:tcPr>
            <w:tcW w:w="632" w:type="pct"/>
          </w:tcPr>
          <w:p w14:paraId="4313B02E" w14:textId="77777777" w:rsidR="00A63F17" w:rsidRDefault="00A63F17" w:rsidP="00514281">
            <w:r>
              <w:t>Non-zero length</w:t>
            </w:r>
          </w:p>
        </w:tc>
        <w:tc>
          <w:tcPr>
            <w:tcW w:w="530" w:type="pct"/>
          </w:tcPr>
          <w:p w14:paraId="655AB870" w14:textId="77777777" w:rsidR="00A63F17" w:rsidRDefault="00A63F17" w:rsidP="00514281">
            <w:r>
              <w:t>Non-empty string</w:t>
            </w:r>
          </w:p>
        </w:tc>
      </w:tr>
    </w:tbl>
    <w:p w14:paraId="35674C26" w14:textId="77777777" w:rsidR="00C95B8B" w:rsidRDefault="00C95B8B" w:rsidP="00C95B8B"/>
    <w:p w14:paraId="375414BD" w14:textId="29B7E6F5" w:rsidR="00C95B8B" w:rsidRDefault="00A63F17" w:rsidP="00C95B8B">
      <w:r>
        <w:t xml:space="preserve">The block content can be defined as a </w:t>
      </w:r>
      <w:r w:rsidR="00C95B8B">
        <w:t>CDDL schema</w:t>
      </w:r>
      <w:r w:rsidR="00750462">
        <w:t xml:space="preserve"> from</w:t>
      </w:r>
      <w:r w:rsidR="00C95B8B">
        <w:t xml:space="preserve"> [RFC 8610] to formalize the definition in a machine-readable way:</w:t>
      </w:r>
    </w:p>
    <w:p w14:paraId="67447572" w14:textId="68373511" w:rsidR="00995A4D" w:rsidRDefault="00C95B8B" w:rsidP="00A24FB2">
      <w:pPr>
        <w:pStyle w:val="Code"/>
      </w:pPr>
      <w:r w:rsidRPr="00C95B8B">
        <w:t xml:space="preserve">; The LTP block is the </w:t>
      </w:r>
      <w:r w:rsidR="00995A4D">
        <w:t xml:space="preserve">non-empty </w:t>
      </w:r>
      <w:r w:rsidRPr="00C95B8B">
        <w:t xml:space="preserve">CBOR sequence </w:t>
      </w:r>
      <w:r w:rsidR="00995A4D">
        <w:t>(unwrapped array)</w:t>
      </w:r>
    </w:p>
    <w:p w14:paraId="0B1DA046" w14:textId="53A47C09" w:rsidR="00C95B8B" w:rsidRPr="00C95B8B" w:rsidRDefault="00995A4D" w:rsidP="00A24FB2">
      <w:pPr>
        <w:pStyle w:val="Code"/>
      </w:pPr>
      <w:r>
        <w:t xml:space="preserve">; of </w:t>
      </w:r>
      <w:r w:rsidR="00C95B8B" w:rsidRPr="00C95B8B">
        <w:t>~cla_seq</w:t>
      </w:r>
    </w:p>
    <w:p w14:paraId="0ACBECD6" w14:textId="49AE8288" w:rsidR="00C95B8B" w:rsidRDefault="00C95B8B" w:rsidP="00A24FB2">
      <w:pPr>
        <w:pStyle w:val="Code"/>
      </w:pPr>
      <w:r w:rsidRPr="00C95B8B">
        <w:t xml:space="preserve">cla_seq = [1* </w:t>
      </w:r>
      <w:r w:rsidR="00995A4D">
        <w:t>cla_item</w:t>
      </w:r>
      <w:r w:rsidRPr="00C95B8B">
        <w:t>]</w:t>
      </w:r>
    </w:p>
    <w:p w14:paraId="1E541882" w14:textId="2CB2109B" w:rsidR="00995A4D" w:rsidRDefault="00995A4D" w:rsidP="00A24FB2">
      <w:pPr>
        <w:pStyle w:val="Code"/>
      </w:pPr>
      <w:r w:rsidRPr="00C95B8B">
        <w:t xml:space="preserve">; Each </w:t>
      </w:r>
      <w:r>
        <w:t xml:space="preserve">item is a non-empty </w:t>
      </w:r>
      <w:r w:rsidRPr="00C95B8B">
        <w:t>byte</w:t>
      </w:r>
      <w:r>
        <w:t xml:space="preserve"> </w:t>
      </w:r>
      <w:r w:rsidRPr="00C95B8B">
        <w:t>string</w:t>
      </w:r>
      <w:r>
        <w:t xml:space="preserve"> which contains</w:t>
      </w:r>
    </w:p>
    <w:p w14:paraId="42F92B4E" w14:textId="0A099D77" w:rsidR="00995A4D" w:rsidRPr="00C95B8B" w:rsidRDefault="00995A4D" w:rsidP="00A24FB2">
      <w:pPr>
        <w:pStyle w:val="Code"/>
      </w:pPr>
      <w:r>
        <w:t xml:space="preserve">; </w:t>
      </w:r>
      <w:r w:rsidRPr="00C95B8B">
        <w:t>a serialized BPv7 bundle</w:t>
      </w:r>
    </w:p>
    <w:p w14:paraId="46D2661C" w14:textId="65CBCEB9" w:rsidR="00995A4D" w:rsidRPr="00C95B8B" w:rsidRDefault="00995A4D" w:rsidP="00A24FB2">
      <w:pPr>
        <w:pStyle w:val="Code"/>
      </w:pPr>
      <w:r>
        <w:t xml:space="preserve">cla_item = </w:t>
      </w:r>
      <w:r w:rsidRPr="00C95B8B">
        <w:t>bstr .cbor bundle</w:t>
      </w:r>
    </w:p>
    <w:p w14:paraId="75D9BCC3" w14:textId="77777777" w:rsidR="00995A4D" w:rsidRPr="00C95B8B" w:rsidRDefault="00995A4D" w:rsidP="00A24FB2">
      <w:pPr>
        <w:pStyle w:val="Code"/>
      </w:pPr>
      <w:r w:rsidRPr="00C95B8B">
        <w:t>; The symbol “bundle” is defined in Appendix B of RFC 9171</w:t>
      </w:r>
    </w:p>
    <w:p w14:paraId="3B7BAB42" w14:textId="11C2F36F" w:rsidR="00C95B8B" w:rsidRDefault="00C95B8B" w:rsidP="00C95B8B">
      <w:r>
        <w:t xml:space="preserve">Another way is to include an example in CBOR Extended Diagnostic Notation from Appendix G of [RFC 8610] where two indefinite-length arrays </w:t>
      </w:r>
      <w:r w:rsidR="00342047">
        <w:t xml:space="preserve">use </w:t>
      </w:r>
      <w:r w:rsidR="00EB3EFD">
        <w:t>elided placeholder</w:t>
      </w:r>
      <w:r w:rsidR="00342047">
        <w:t xml:space="preserve"> tags</w:t>
      </w:r>
      <w:r>
        <w:t xml:space="preserve"> for real BPv7 </w:t>
      </w:r>
      <w:r w:rsidR="00342047">
        <w:t>blocks</w:t>
      </w:r>
      <w:r>
        <w:t>, which would be considerably longer</w:t>
      </w:r>
      <w:r>
        <w:t>:</w:t>
      </w:r>
    </w:p>
    <w:p w14:paraId="1265C42B" w14:textId="1F2CD68E" w:rsidR="00C95B8B" w:rsidRPr="00C95B8B" w:rsidRDefault="002914C9" w:rsidP="00A24FB2">
      <w:pPr>
        <w:pStyle w:val="Code"/>
      </w:pPr>
      <w:r w:rsidRPr="002914C9">
        <w:t>&lt;&lt;[_ 888(null), 888(null), 888(null)]&gt;&gt;,&lt;&lt;[_ 888(null), 888(null)]&gt;&gt;</w:t>
      </w:r>
    </w:p>
    <w:p w14:paraId="65235A25" w14:textId="57C8D8C1" w:rsidR="00C95B8B" w:rsidRDefault="00C95B8B" w:rsidP="00C95B8B">
      <w:r>
        <w:t xml:space="preserve">Which encodes to the following </w:t>
      </w:r>
      <w:r w:rsidR="00A82925">
        <w:t>hexadecimal string</w:t>
      </w:r>
      <w:r>
        <w:t>, using indentation to separate CBOR heads from content:</w:t>
      </w:r>
    </w:p>
    <w:p w14:paraId="1F93F5BD" w14:textId="77777777" w:rsidR="002914C9" w:rsidRDefault="002914C9" w:rsidP="00A24FB2">
      <w:pPr>
        <w:pStyle w:val="Code"/>
      </w:pPr>
      <w:r w:rsidRPr="002914C9">
        <w:t>4E</w:t>
      </w:r>
    </w:p>
    <w:p w14:paraId="64733E28" w14:textId="0175F3BB" w:rsidR="002914C9" w:rsidRDefault="002914C9" w:rsidP="00A24FB2">
      <w:pPr>
        <w:pStyle w:val="Code"/>
      </w:pPr>
      <w:r>
        <w:t xml:space="preserve">   </w:t>
      </w:r>
      <w:r w:rsidRPr="002914C9">
        <w:t>9FD90378F6D90378F6D90378F6FF</w:t>
      </w:r>
    </w:p>
    <w:p w14:paraId="765B851B" w14:textId="77777777" w:rsidR="002914C9" w:rsidRDefault="002914C9" w:rsidP="00A24FB2">
      <w:pPr>
        <w:pStyle w:val="Code"/>
      </w:pPr>
      <w:r w:rsidRPr="002914C9">
        <w:t>4A</w:t>
      </w:r>
    </w:p>
    <w:p w14:paraId="46A4E8F4" w14:textId="2412AD72" w:rsidR="002914C9" w:rsidRDefault="002914C9" w:rsidP="00A24FB2">
      <w:pPr>
        <w:pStyle w:val="Code"/>
      </w:pPr>
      <w:r>
        <w:t xml:space="preserve">   </w:t>
      </w:r>
      <w:r w:rsidRPr="002914C9">
        <w:t>9FD90378F6D90378F6FF</w:t>
      </w:r>
    </w:p>
    <w:p w14:paraId="62729D5D" w14:textId="77777777" w:rsidR="00A24FB2" w:rsidRDefault="00A24FB2" w:rsidP="00A24FB2"/>
    <w:sectPr w:rsidR="00A24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BC"/>
    <w:rsid w:val="002914C9"/>
    <w:rsid w:val="00342047"/>
    <w:rsid w:val="003F366C"/>
    <w:rsid w:val="005863BC"/>
    <w:rsid w:val="00750462"/>
    <w:rsid w:val="00995A4D"/>
    <w:rsid w:val="00A24FB2"/>
    <w:rsid w:val="00A63F17"/>
    <w:rsid w:val="00A82925"/>
    <w:rsid w:val="00C95B8B"/>
    <w:rsid w:val="00E66A1A"/>
    <w:rsid w:val="00E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71A2"/>
  <w15:chartTrackingRefBased/>
  <w15:docId w15:val="{B4850462-5ED8-4702-96A1-042EFFE8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Normal"/>
    <w:link w:val="CodeChar"/>
    <w:qFormat/>
    <w:rsid w:val="00A24FB2"/>
    <w:pPr>
      <w:ind w:left="360"/>
      <w:contextualSpacing/>
    </w:pPr>
    <w:rPr>
      <w:rFonts w:ascii="Consolas" w:hAnsi="Consolas"/>
      <w:noProof/>
    </w:rPr>
  </w:style>
  <w:style w:type="character" w:customStyle="1" w:styleId="CodeChar">
    <w:name w:val="Code Char"/>
    <w:basedOn w:val="DefaultParagraphFont"/>
    <w:link w:val="Code"/>
    <w:rsid w:val="00A24FB2"/>
    <w:rPr>
      <w:rFonts w:ascii="Consolas" w:hAnsi="Consolas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Sipos, Brian J.</dc:creator>
  <cp:keywords/>
  <dc:description/>
  <cp:lastModifiedBy>Sipos, Brian J.</cp:lastModifiedBy>
  <cp:revision>7</cp:revision>
  <dcterms:created xsi:type="dcterms:W3CDTF">2024-05-16T15:58:00Z</dcterms:created>
  <dcterms:modified xsi:type="dcterms:W3CDTF">2024-05-16T16:50:00Z</dcterms:modified>
</cp:coreProperties>
</file>