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5C081" w14:textId="77777777" w:rsidR="00A32DEB" w:rsidRPr="00480897" w:rsidRDefault="002972A4" w:rsidP="00A32DEB">
      <w:pPr>
        <w:pStyle w:val="CvrLogo"/>
      </w:pPr>
      <w:bookmarkStart w:id="0" w:name="_Toc350520792"/>
      <w:r w:rsidRPr="002D28F9">
        <w:rPr>
          <w:noProof/>
        </w:rPr>
        <w:drawing>
          <wp:inline distT="0" distB="0" distL="0" distR="0" wp14:anchorId="4AF96A05" wp14:editId="5D651EF3">
            <wp:extent cx="4264025" cy="7651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4025" cy="765175"/>
                    </a:xfrm>
                    <a:prstGeom prst="rect">
                      <a:avLst/>
                    </a:prstGeom>
                    <a:noFill/>
                    <a:ln>
                      <a:noFill/>
                    </a:ln>
                  </pic:spPr>
                </pic:pic>
              </a:graphicData>
            </a:graphic>
          </wp:inline>
        </w:drawing>
      </w:r>
    </w:p>
    <w:p w14:paraId="4EE6F931" w14:textId="77777777" w:rsidR="00A32DEB" w:rsidRPr="00962535" w:rsidRDefault="00A32DEB" w:rsidP="00A32DEB">
      <w:pPr>
        <w:pStyle w:val="CvrSeriesDraft"/>
      </w:pPr>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A32DEB" w:rsidRPr="00A32DEB" w14:paraId="322EC4E5" w14:textId="77777777" w:rsidTr="001502B3">
        <w:trPr>
          <w:cantSplit/>
          <w:trHeight w:hRule="exact" w:val="2880"/>
          <w:jc w:val="center"/>
        </w:trPr>
        <w:tc>
          <w:tcPr>
            <w:tcW w:w="7560" w:type="dxa"/>
            <w:vAlign w:val="center"/>
          </w:tcPr>
          <w:p w14:paraId="0DF2AEF6" w14:textId="77777777" w:rsidR="00A32DEB" w:rsidRPr="00A32DEB" w:rsidRDefault="00A32DEB" w:rsidP="001502B3">
            <w:pPr>
              <w:pStyle w:val="CvrTitle"/>
              <w:spacing w:before="0" w:line="240" w:lineRule="auto"/>
              <w:rPr>
                <w:sz w:val="64"/>
              </w:rPr>
            </w:pPr>
            <w:r w:rsidRPr="00A32DEB">
              <w:rPr>
                <w:sz w:val="64"/>
              </w:rPr>
              <w:fldChar w:fldCharType="begin"/>
            </w:r>
            <w:r w:rsidRPr="00A32DEB">
              <w:rPr>
                <w:sz w:val="64"/>
              </w:rPr>
              <w:instrText xml:space="preserve"> DOCPROPERTY  "Title"  \* MERGEFORMAT </w:instrText>
            </w:r>
            <w:r w:rsidRPr="00A32DEB">
              <w:rPr>
                <w:sz w:val="64"/>
              </w:rPr>
              <w:fldChar w:fldCharType="separate"/>
            </w:r>
            <w:r w:rsidR="000969EC">
              <w:rPr>
                <w:sz w:val="64"/>
              </w:rPr>
              <w:t>CCSDS Streamlined Bundle Security Protocol Specification</w:t>
            </w:r>
            <w:r w:rsidRPr="00A32DEB">
              <w:rPr>
                <w:sz w:val="64"/>
              </w:rPr>
              <w:fldChar w:fldCharType="end"/>
            </w:r>
          </w:p>
        </w:tc>
      </w:tr>
    </w:tbl>
    <w:p w14:paraId="47446181" w14:textId="77777777" w:rsidR="00A32DEB" w:rsidRPr="00A32DEB" w:rsidRDefault="00A32DEB" w:rsidP="00A32DEB">
      <w:pPr>
        <w:pStyle w:val="CvrDocType"/>
        <w:rPr>
          <w:spacing w:val="-2"/>
        </w:rPr>
      </w:pPr>
      <w:r w:rsidRPr="00A32DEB">
        <w:rPr>
          <w:spacing w:val="-2"/>
        </w:rPr>
        <w:fldChar w:fldCharType="begin"/>
      </w:r>
      <w:r w:rsidRPr="00A32DEB">
        <w:rPr>
          <w:spacing w:val="-2"/>
        </w:rPr>
        <w:instrText xml:space="preserve"> DOCPROPERTY  "Document Type"  \* MERGEFORMAT </w:instrText>
      </w:r>
      <w:r w:rsidRPr="00A32DEB">
        <w:rPr>
          <w:spacing w:val="-2"/>
        </w:rPr>
        <w:fldChar w:fldCharType="separate"/>
      </w:r>
      <w:r w:rsidR="000969EC">
        <w:rPr>
          <w:spacing w:val="-2"/>
        </w:rPr>
        <w:t>Draft Recommended Standard</w:t>
      </w:r>
      <w:r w:rsidRPr="00A32DEB">
        <w:rPr>
          <w:spacing w:val="-2"/>
        </w:rPr>
        <w:fldChar w:fldCharType="end"/>
      </w:r>
    </w:p>
    <w:p w14:paraId="255D6350" w14:textId="77777777" w:rsidR="00A32DEB" w:rsidRPr="00CE6B90" w:rsidRDefault="00326C41" w:rsidP="00A32DEB">
      <w:pPr>
        <w:pStyle w:val="CvrDocNo"/>
      </w:pPr>
      <w:fldSimple w:instr=" DOCPROPERTY  &quot;Document number&quot;  \* MERGEFORMAT ">
        <w:r w:rsidR="000969EC">
          <w:t>CCSDS 734.5-R-1</w:t>
        </w:r>
      </w:fldSimple>
    </w:p>
    <w:p w14:paraId="0AB7B88D" w14:textId="77777777" w:rsidR="00A32DEB" w:rsidRPr="00DD5CB7" w:rsidRDefault="00326C41" w:rsidP="00A32DEB">
      <w:pPr>
        <w:pStyle w:val="CvrColor"/>
      </w:pPr>
      <w:fldSimple w:instr=" DOCPROPERTY  &quot;Document Color&quot;  \* MERGEFORMAT ">
        <w:r w:rsidR="000969EC">
          <w:t>Red Book</w:t>
        </w:r>
      </w:fldSimple>
    </w:p>
    <w:p w14:paraId="452FAD73" w14:textId="71515007" w:rsidR="00A32DEB" w:rsidRDefault="00115A8C" w:rsidP="00A32DEB">
      <w:pPr>
        <w:pStyle w:val="CvrDate"/>
      </w:pPr>
      <w:r>
        <w:t>April 2020</w:t>
      </w:r>
    </w:p>
    <w:p w14:paraId="511DDF68" w14:textId="77777777" w:rsidR="00A32DEB" w:rsidRDefault="00A32DEB" w:rsidP="00A32DEB">
      <w:pPr>
        <w:sectPr w:rsidR="00A32DEB" w:rsidSect="00A32DEB">
          <w:type w:val="continuous"/>
          <w:pgSz w:w="12240" w:h="15840" w:code="1"/>
          <w:pgMar w:top="720" w:right="1440" w:bottom="1440" w:left="1440" w:header="360" w:footer="360" w:gutter="0"/>
          <w:cols w:space="720"/>
          <w:docGrid w:linePitch="360"/>
        </w:sectPr>
      </w:pPr>
    </w:p>
    <w:p w14:paraId="02106F54" w14:textId="77777777" w:rsidR="00A32DEB" w:rsidRDefault="00A32DEB" w:rsidP="00A32DEB">
      <w:pPr>
        <w:pStyle w:val="CenteredHeading"/>
      </w:pPr>
      <w:r>
        <w:lastRenderedPageBreak/>
        <w:t>AUTHORITY</w:t>
      </w:r>
    </w:p>
    <w:p w14:paraId="4B8B9520" w14:textId="77777777" w:rsidR="00A32DEB" w:rsidRDefault="00A32DEB" w:rsidP="00A32DEB">
      <w:pPr>
        <w:ind w:right="14"/>
      </w:pPr>
    </w:p>
    <w:p w14:paraId="44E4BB87" w14:textId="77777777" w:rsidR="00A32DEB" w:rsidRDefault="00A32DEB" w:rsidP="00A32DEB">
      <w:pPr>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A32DEB" w14:paraId="6B59331D" w14:textId="77777777" w:rsidTr="001502B3">
        <w:trPr>
          <w:cantSplit/>
          <w:jc w:val="center"/>
        </w:trPr>
        <w:tc>
          <w:tcPr>
            <w:tcW w:w="360" w:type="dxa"/>
          </w:tcPr>
          <w:p w14:paraId="15FAFECA" w14:textId="77777777" w:rsidR="00A32DEB" w:rsidRDefault="00A32DEB" w:rsidP="001502B3"/>
        </w:tc>
        <w:tc>
          <w:tcPr>
            <w:tcW w:w="1440" w:type="dxa"/>
          </w:tcPr>
          <w:p w14:paraId="590D4F91" w14:textId="77777777" w:rsidR="00A32DEB" w:rsidRDefault="00A32DEB" w:rsidP="001502B3"/>
        </w:tc>
        <w:tc>
          <w:tcPr>
            <w:tcW w:w="3600" w:type="dxa"/>
          </w:tcPr>
          <w:p w14:paraId="6EB252C0" w14:textId="77777777" w:rsidR="00A32DEB" w:rsidRDefault="00A32DEB" w:rsidP="001502B3"/>
        </w:tc>
        <w:tc>
          <w:tcPr>
            <w:tcW w:w="360" w:type="dxa"/>
          </w:tcPr>
          <w:p w14:paraId="4A1D913A" w14:textId="77777777" w:rsidR="00A32DEB" w:rsidRDefault="00A32DEB" w:rsidP="001502B3">
            <w:pPr>
              <w:jc w:val="right"/>
            </w:pPr>
          </w:p>
        </w:tc>
      </w:tr>
      <w:tr w:rsidR="00A32DEB" w14:paraId="5A69BA1B" w14:textId="77777777" w:rsidTr="001502B3">
        <w:trPr>
          <w:cantSplit/>
          <w:jc w:val="center"/>
        </w:trPr>
        <w:tc>
          <w:tcPr>
            <w:tcW w:w="360" w:type="dxa"/>
          </w:tcPr>
          <w:p w14:paraId="580ABF98" w14:textId="77777777" w:rsidR="00A32DEB" w:rsidRPr="00073629" w:rsidRDefault="00A32DEB" w:rsidP="001502B3"/>
        </w:tc>
        <w:tc>
          <w:tcPr>
            <w:tcW w:w="1440" w:type="dxa"/>
          </w:tcPr>
          <w:p w14:paraId="2F64FEF7" w14:textId="77777777" w:rsidR="00A32DEB" w:rsidRPr="00073629" w:rsidRDefault="00A32DEB" w:rsidP="001502B3">
            <w:r w:rsidRPr="00073629">
              <w:t>Issue:</w:t>
            </w:r>
          </w:p>
        </w:tc>
        <w:tc>
          <w:tcPr>
            <w:tcW w:w="3600" w:type="dxa"/>
          </w:tcPr>
          <w:p w14:paraId="50960DEA" w14:textId="577817A6" w:rsidR="00A32DEB" w:rsidRPr="00073629" w:rsidRDefault="00326C41" w:rsidP="001502B3">
            <w:fldSimple w:instr=" DOCPROPERTY  &quot;Document Color&quot;  \* MERGEFORMAT ">
              <w:r w:rsidR="000969EC" w:rsidRPr="00073629">
                <w:t>Red Book</w:t>
              </w:r>
            </w:fldSimple>
            <w:r w:rsidR="00A32DEB" w:rsidRPr="00073629">
              <w:t xml:space="preserve">, </w:t>
            </w:r>
            <w:r w:rsidR="00073629" w:rsidRPr="00073629">
              <w:fldChar w:fldCharType="begin"/>
            </w:r>
            <w:r w:rsidR="00073629" w:rsidRPr="00465D15">
              <w:rPr>
                <w:highlight w:val="yellow"/>
              </w:rPr>
              <w:instrText xml:space="preserve"> DOCPROPERTY  "Issue"  \* MERGEFORMAT </w:instrText>
            </w:r>
            <w:r w:rsidR="00073629" w:rsidRPr="00073629">
              <w:fldChar w:fldCharType="separate"/>
            </w:r>
            <w:r w:rsidR="00073629" w:rsidRPr="00073629">
              <w:t xml:space="preserve">Issue </w:t>
            </w:r>
            <w:r w:rsidR="00073629" w:rsidRPr="00465D15">
              <w:t>2</w:t>
            </w:r>
            <w:r w:rsidR="00073629" w:rsidRPr="00073629">
              <w:fldChar w:fldCharType="end"/>
            </w:r>
          </w:p>
        </w:tc>
        <w:tc>
          <w:tcPr>
            <w:tcW w:w="360" w:type="dxa"/>
          </w:tcPr>
          <w:p w14:paraId="27A0AF16" w14:textId="77777777" w:rsidR="00A32DEB" w:rsidRDefault="00A32DEB" w:rsidP="001502B3">
            <w:pPr>
              <w:jc w:val="right"/>
            </w:pPr>
          </w:p>
        </w:tc>
      </w:tr>
      <w:tr w:rsidR="00A32DEB" w14:paraId="3988EF9B" w14:textId="77777777" w:rsidTr="001502B3">
        <w:trPr>
          <w:cantSplit/>
          <w:jc w:val="center"/>
        </w:trPr>
        <w:tc>
          <w:tcPr>
            <w:tcW w:w="360" w:type="dxa"/>
          </w:tcPr>
          <w:p w14:paraId="251572DB" w14:textId="77777777" w:rsidR="00A32DEB" w:rsidRPr="00115A8C" w:rsidRDefault="00A32DEB" w:rsidP="001502B3"/>
        </w:tc>
        <w:tc>
          <w:tcPr>
            <w:tcW w:w="1440" w:type="dxa"/>
          </w:tcPr>
          <w:p w14:paraId="42E3F541" w14:textId="77777777" w:rsidR="00A32DEB" w:rsidRPr="00115A8C" w:rsidRDefault="00A32DEB" w:rsidP="001502B3">
            <w:r w:rsidRPr="00115A8C">
              <w:t>Date:</w:t>
            </w:r>
          </w:p>
        </w:tc>
        <w:tc>
          <w:tcPr>
            <w:tcW w:w="3600" w:type="dxa"/>
          </w:tcPr>
          <w:p w14:paraId="3E449335" w14:textId="353025EE" w:rsidR="00A32DEB" w:rsidRPr="00115A8C" w:rsidRDefault="00115A8C" w:rsidP="001502B3">
            <w:r>
              <w:t>April 2020</w:t>
            </w:r>
          </w:p>
        </w:tc>
        <w:tc>
          <w:tcPr>
            <w:tcW w:w="360" w:type="dxa"/>
          </w:tcPr>
          <w:p w14:paraId="67D034DD" w14:textId="77777777" w:rsidR="00A32DEB" w:rsidRDefault="00A32DEB" w:rsidP="001502B3">
            <w:pPr>
              <w:jc w:val="right"/>
            </w:pPr>
          </w:p>
        </w:tc>
      </w:tr>
      <w:tr w:rsidR="00A32DEB" w14:paraId="6853324D" w14:textId="77777777" w:rsidTr="001502B3">
        <w:trPr>
          <w:cantSplit/>
          <w:jc w:val="center"/>
        </w:trPr>
        <w:tc>
          <w:tcPr>
            <w:tcW w:w="360" w:type="dxa"/>
          </w:tcPr>
          <w:p w14:paraId="555CE7AC" w14:textId="77777777" w:rsidR="00A32DEB" w:rsidRDefault="00A32DEB" w:rsidP="001502B3"/>
        </w:tc>
        <w:tc>
          <w:tcPr>
            <w:tcW w:w="1440" w:type="dxa"/>
          </w:tcPr>
          <w:p w14:paraId="68308D92" w14:textId="77777777" w:rsidR="00A32DEB" w:rsidRDefault="00A32DEB" w:rsidP="001502B3">
            <w:r>
              <w:t>Location:</w:t>
            </w:r>
          </w:p>
        </w:tc>
        <w:tc>
          <w:tcPr>
            <w:tcW w:w="3600" w:type="dxa"/>
          </w:tcPr>
          <w:p w14:paraId="29B3FCF2" w14:textId="77777777" w:rsidR="00A32DEB" w:rsidRDefault="00A32DEB" w:rsidP="001502B3">
            <w:r>
              <w:t>Not Applicable</w:t>
            </w:r>
          </w:p>
        </w:tc>
        <w:tc>
          <w:tcPr>
            <w:tcW w:w="360" w:type="dxa"/>
          </w:tcPr>
          <w:p w14:paraId="78FBA0C2" w14:textId="77777777" w:rsidR="00A32DEB" w:rsidRDefault="00A32DEB" w:rsidP="001502B3">
            <w:pPr>
              <w:jc w:val="right"/>
            </w:pPr>
          </w:p>
        </w:tc>
      </w:tr>
      <w:tr w:rsidR="00A32DEB" w14:paraId="4F20084C" w14:textId="77777777" w:rsidTr="001502B3">
        <w:trPr>
          <w:cantSplit/>
          <w:jc w:val="center"/>
        </w:trPr>
        <w:tc>
          <w:tcPr>
            <w:tcW w:w="360" w:type="dxa"/>
          </w:tcPr>
          <w:p w14:paraId="5ABDAFAE" w14:textId="77777777" w:rsidR="00A32DEB" w:rsidRDefault="00A32DEB" w:rsidP="001502B3"/>
        </w:tc>
        <w:tc>
          <w:tcPr>
            <w:tcW w:w="1440" w:type="dxa"/>
          </w:tcPr>
          <w:p w14:paraId="3A097BC8" w14:textId="77777777" w:rsidR="00A32DEB" w:rsidRDefault="00A32DEB" w:rsidP="001502B3"/>
        </w:tc>
        <w:tc>
          <w:tcPr>
            <w:tcW w:w="3600" w:type="dxa"/>
          </w:tcPr>
          <w:p w14:paraId="18DE6BC5" w14:textId="77777777" w:rsidR="00A32DEB" w:rsidRDefault="00A32DEB" w:rsidP="001502B3"/>
        </w:tc>
        <w:tc>
          <w:tcPr>
            <w:tcW w:w="360" w:type="dxa"/>
          </w:tcPr>
          <w:p w14:paraId="27D91C51" w14:textId="77777777" w:rsidR="00A32DEB" w:rsidRDefault="00A32DEB" w:rsidP="001502B3">
            <w:pPr>
              <w:jc w:val="right"/>
            </w:pPr>
          </w:p>
        </w:tc>
      </w:tr>
    </w:tbl>
    <w:p w14:paraId="3F393B22" w14:textId="77777777" w:rsidR="00122635" w:rsidRDefault="00122635" w:rsidP="00A32DEB">
      <w:pPr>
        <w:rPr>
          <w:b/>
          <w:snapToGrid w:val="0"/>
        </w:rPr>
      </w:pPr>
    </w:p>
    <w:p w14:paraId="1AEB2048" w14:textId="12B17AAB" w:rsidR="00A32DEB" w:rsidRDefault="00A32DEB" w:rsidP="00A32DEB">
      <w:pPr>
        <w:rPr>
          <w:b/>
          <w:snapToGrid w:val="0"/>
        </w:rPr>
      </w:pPr>
      <w:r>
        <w:rPr>
          <w:b/>
          <w:snapToGrid w:val="0"/>
        </w:rPr>
        <w:t xml:space="preserve">(WHEN THIS RECOMMENDED STANDARD IS FINALIZED, IT WILL CONTAIN THE FOLLOWING STATEMENT OF </w:t>
      </w:r>
      <w:proofErr w:type="gramStart"/>
      <w:r>
        <w:rPr>
          <w:b/>
          <w:snapToGrid w:val="0"/>
        </w:rPr>
        <w:t>AUTHORITY:</w:t>
      </w:r>
      <w:proofErr w:type="gramEnd"/>
      <w:r>
        <w:rPr>
          <w:b/>
          <w:snapToGrid w:val="0"/>
        </w:rPr>
        <w:t>)</w:t>
      </w:r>
    </w:p>
    <w:p w14:paraId="3DBBA872" w14:textId="77777777" w:rsidR="00122635" w:rsidRDefault="00122635" w:rsidP="00A32DEB">
      <w:pPr>
        <w:rPr>
          <w:b/>
          <w:snapToGrid w:val="0"/>
        </w:rPr>
      </w:pPr>
    </w:p>
    <w:p w14:paraId="4942275F" w14:textId="77777777" w:rsidR="00A32DEB" w:rsidRDefault="00A32DEB" w:rsidP="00394053">
      <w:pPr>
        <w:jc w:val="both"/>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14:paraId="09ED50B7" w14:textId="77777777" w:rsidR="00A32DEB" w:rsidRDefault="00A32DEB" w:rsidP="00A32DEB"/>
    <w:p w14:paraId="703E30DA" w14:textId="77777777" w:rsidR="00A32DEB" w:rsidRDefault="00A32DEB" w:rsidP="00A32DEB"/>
    <w:p w14:paraId="1CE51A20" w14:textId="77777777" w:rsidR="00A32DEB" w:rsidRDefault="00A32DEB" w:rsidP="00A32DEB">
      <w:r>
        <w:t>This document is published and maintained by:</w:t>
      </w:r>
    </w:p>
    <w:p w14:paraId="1C280C14" w14:textId="77777777" w:rsidR="00A32DEB" w:rsidRDefault="00A32DEB" w:rsidP="00A32DEB"/>
    <w:p w14:paraId="4764158F" w14:textId="77777777" w:rsidR="00A32DEB" w:rsidRDefault="00A32DEB" w:rsidP="00A32DEB">
      <w:pPr>
        <w:ind w:firstLine="720"/>
      </w:pPr>
      <w:r>
        <w:t>CCSDS Secretariat</w:t>
      </w:r>
    </w:p>
    <w:p w14:paraId="659BF4ED" w14:textId="77777777" w:rsidR="00A32DEB" w:rsidRDefault="00A32DEB" w:rsidP="00A32DEB">
      <w:pPr>
        <w:ind w:firstLine="720"/>
      </w:pPr>
      <w:r>
        <w:t>National Aeronautics and Space Administration</w:t>
      </w:r>
    </w:p>
    <w:p w14:paraId="2B100A1B" w14:textId="77777777" w:rsidR="00A32DEB" w:rsidRDefault="00A32DEB" w:rsidP="00A32DEB">
      <w:pPr>
        <w:ind w:firstLine="720"/>
      </w:pPr>
      <w:r>
        <w:t>Washington, DC, USA</w:t>
      </w:r>
    </w:p>
    <w:p w14:paraId="216077C4" w14:textId="77777777" w:rsidR="00A32DEB" w:rsidRDefault="00A32DEB" w:rsidP="00A32DEB">
      <w:pPr>
        <w:ind w:firstLine="720"/>
      </w:pPr>
      <w:r>
        <w:t>E-mail: secretariat@mailman.ccsds.org</w:t>
      </w:r>
    </w:p>
    <w:p w14:paraId="0CDF5866" w14:textId="77777777" w:rsidR="00A32DEB" w:rsidRPr="00CF60B8" w:rsidRDefault="00A32DEB" w:rsidP="00A32DEB">
      <w:pPr>
        <w:pStyle w:val="CenteredHeading"/>
      </w:pPr>
      <w:r w:rsidRPr="00CF60B8">
        <w:lastRenderedPageBreak/>
        <w:t>STATEMENT OF INTENT</w:t>
      </w:r>
    </w:p>
    <w:p w14:paraId="6F4EEB63" w14:textId="6E8147B7" w:rsidR="00A32DEB" w:rsidRDefault="00A32DEB" w:rsidP="00A32DEB">
      <w:pPr>
        <w:rPr>
          <w:b/>
          <w:snapToGrid w:val="0"/>
        </w:rPr>
      </w:pPr>
      <w:r>
        <w:rPr>
          <w:b/>
          <w:snapToGrid w:val="0"/>
        </w:rPr>
        <w:t xml:space="preserve">(WHEN THIS RECOMMENDED STANDARD IS FINALIZED, IT WILL CONTAIN THE FOLLOWING STATEMENT OF </w:t>
      </w:r>
      <w:proofErr w:type="gramStart"/>
      <w:r>
        <w:rPr>
          <w:b/>
          <w:snapToGrid w:val="0"/>
        </w:rPr>
        <w:t>INTENT:</w:t>
      </w:r>
      <w:proofErr w:type="gramEnd"/>
      <w:r>
        <w:rPr>
          <w:b/>
          <w:snapToGrid w:val="0"/>
        </w:rPr>
        <w:t>)</w:t>
      </w:r>
    </w:p>
    <w:p w14:paraId="70A925EC" w14:textId="77777777" w:rsidR="00122635" w:rsidRDefault="00122635" w:rsidP="00A32DEB">
      <w:pPr>
        <w:rPr>
          <w:b/>
          <w:snapToGrid w:val="0"/>
        </w:rPr>
      </w:pPr>
    </w:p>
    <w:p w14:paraId="41A926DB" w14:textId="77777777" w:rsidR="00A32DEB" w:rsidRDefault="00A32DEB" w:rsidP="00394053">
      <w:pPr>
        <w:jc w:val="both"/>
      </w:pPr>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2CA9EFC9" w14:textId="77777777" w:rsidR="00122635" w:rsidRDefault="00122635" w:rsidP="00A32DEB"/>
    <w:p w14:paraId="11447CFF" w14:textId="003281CB" w:rsidR="00A32DEB" w:rsidRDefault="00A32DEB" w:rsidP="00394053">
      <w:pPr>
        <w:jc w:val="both"/>
      </w:pPr>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0B7C0986" w14:textId="77777777" w:rsidR="00A32DEB" w:rsidRDefault="00A32DEB" w:rsidP="00A32DEB">
      <w:pPr>
        <w:pStyle w:val="List"/>
      </w:pPr>
      <w:proofErr w:type="gramStart"/>
      <w:r>
        <w:t>o</w:t>
      </w:r>
      <w:proofErr w:type="gramEnd"/>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308606B6" w14:textId="77777777" w:rsidR="00A32DEB" w:rsidRDefault="00A32DEB" w:rsidP="00A32DEB">
      <w:pPr>
        <w:pStyle w:val="List"/>
      </w:pPr>
      <w:r>
        <w:t>o</w:t>
      </w:r>
      <w:r>
        <w:tab/>
        <w:t xml:space="preserve">Whenever a member establishes a CCSDS-related </w:t>
      </w:r>
      <w:r>
        <w:rPr>
          <w:b/>
        </w:rPr>
        <w:t>standard</w:t>
      </w:r>
      <w:r>
        <w:t>, that member will provide other CCSDS members with the following information:</w:t>
      </w:r>
    </w:p>
    <w:p w14:paraId="20BC5454" w14:textId="77777777" w:rsidR="00A32DEB" w:rsidRDefault="00A32DEB" w:rsidP="00A32DEB">
      <w:pPr>
        <w:pStyle w:val="List2"/>
      </w:pPr>
      <w:r>
        <w:tab/>
        <w:t>--</w:t>
      </w:r>
      <w:r>
        <w:tab/>
        <w:t xml:space="preserve">The </w:t>
      </w:r>
      <w:r>
        <w:rPr>
          <w:b/>
        </w:rPr>
        <w:t xml:space="preserve">standard </w:t>
      </w:r>
      <w:r>
        <w:t>itself.</w:t>
      </w:r>
    </w:p>
    <w:p w14:paraId="73FBD6AE" w14:textId="77777777" w:rsidR="00A32DEB" w:rsidRDefault="00A32DEB" w:rsidP="00A32DEB">
      <w:pPr>
        <w:pStyle w:val="List2"/>
      </w:pPr>
      <w:r>
        <w:tab/>
        <w:t>--</w:t>
      </w:r>
      <w:r>
        <w:tab/>
        <w:t>The anticipated date of initial operational capability.</w:t>
      </w:r>
    </w:p>
    <w:p w14:paraId="1F67CBF2" w14:textId="77777777" w:rsidR="00A32DEB" w:rsidRDefault="00A32DEB" w:rsidP="00A32DEB">
      <w:pPr>
        <w:pStyle w:val="List2"/>
      </w:pPr>
      <w:r>
        <w:tab/>
        <w:t>--</w:t>
      </w:r>
      <w:r>
        <w:tab/>
        <w:t>The anticipated duration of operational service.</w:t>
      </w:r>
    </w:p>
    <w:p w14:paraId="6C07CAC5" w14:textId="701E0175" w:rsidR="00A32DEB" w:rsidRDefault="00A32DEB" w:rsidP="00A32DEB">
      <w:pPr>
        <w:pStyle w:val="List"/>
      </w:pPr>
      <w:proofErr w:type="gramStart"/>
      <w:r>
        <w:t>o</w:t>
      </w:r>
      <w:proofErr w:type="gramEnd"/>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4A2ADAEB" w14:textId="77777777" w:rsidR="00122635" w:rsidRDefault="00122635" w:rsidP="00A32DEB">
      <w:pPr>
        <w:pStyle w:val="List"/>
      </w:pPr>
    </w:p>
    <w:p w14:paraId="01FAC8D4" w14:textId="721E5267" w:rsidR="00A32DEB" w:rsidRDefault="00A32DEB" w:rsidP="00394053">
      <w:pPr>
        <w:jc w:val="both"/>
      </w:pPr>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104C3953" w14:textId="77777777" w:rsidR="00122635" w:rsidRDefault="00122635" w:rsidP="00A32DEB"/>
    <w:p w14:paraId="0CF717CE" w14:textId="77777777" w:rsidR="00A32DEB" w:rsidRDefault="00A32DEB" w:rsidP="00394053">
      <w:pPr>
        <w:jc w:val="both"/>
      </w:pPr>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7E58E272" w14:textId="77777777" w:rsidR="00A32DEB" w:rsidRDefault="00A32DEB" w:rsidP="00A32DEB">
      <w:pPr>
        <w:pStyle w:val="CenteredHeading"/>
      </w:pPr>
      <w:r>
        <w:lastRenderedPageBreak/>
        <w:t>FOREWORD</w:t>
      </w:r>
    </w:p>
    <w:p w14:paraId="32F4317B" w14:textId="3548A5C2" w:rsidR="00A32DEB" w:rsidRDefault="00A32DEB" w:rsidP="00394053">
      <w:pPr>
        <w:jc w:val="both"/>
      </w:pPr>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14:paraId="3F0BE050" w14:textId="77777777" w:rsidR="00122635" w:rsidRDefault="00122635" w:rsidP="00394053">
      <w:pPr>
        <w:jc w:val="both"/>
      </w:pPr>
    </w:p>
    <w:p w14:paraId="5D1B12F9" w14:textId="77777777" w:rsidR="00A32DEB" w:rsidRDefault="00A32DEB" w:rsidP="00A32DEB">
      <w:pPr>
        <w:jc w:val="center"/>
      </w:pPr>
      <w:r>
        <w:t>http://www.ccsds.org/</w:t>
      </w:r>
    </w:p>
    <w:p w14:paraId="4328AF89" w14:textId="77777777" w:rsidR="00122635" w:rsidRDefault="00122635" w:rsidP="00A32DEB"/>
    <w:p w14:paraId="72B3CBBF" w14:textId="74177677" w:rsidR="00A32DEB" w:rsidRDefault="00A32DEB" w:rsidP="00A32DEB">
      <w:r>
        <w:t xml:space="preserve">Questions relating to the contents or status of this document should be sent to the CCSDS Secretariat at the e-mail address indicated on page </w:t>
      </w:r>
      <w:proofErr w:type="spellStart"/>
      <w:r>
        <w:t>i</w:t>
      </w:r>
      <w:proofErr w:type="spellEnd"/>
      <w:r>
        <w:t>.</w:t>
      </w:r>
    </w:p>
    <w:p w14:paraId="769C50CD" w14:textId="77777777" w:rsidR="00A32DEB" w:rsidRDefault="00A32DEB" w:rsidP="00A32DEB">
      <w:pPr>
        <w:pageBreakBefore/>
      </w:pPr>
      <w:r>
        <w:lastRenderedPageBreak/>
        <w:t>At time of publication, the active Member and Observer Agencies of the CCSDS were:</w:t>
      </w:r>
    </w:p>
    <w:p w14:paraId="65D4B065" w14:textId="77777777" w:rsidR="00A32DEB" w:rsidRDefault="00A32DEB" w:rsidP="00A32DEB">
      <w:r>
        <w:rPr>
          <w:u w:val="single"/>
        </w:rPr>
        <w:t>Member Agencies</w:t>
      </w:r>
    </w:p>
    <w:p w14:paraId="2B80107F" w14:textId="77777777" w:rsidR="00A32DEB" w:rsidRDefault="00A32DEB" w:rsidP="00C818EF">
      <w:pPr>
        <w:pStyle w:val="List"/>
        <w:numPr>
          <w:ilvl w:val="0"/>
          <w:numId w:val="11"/>
        </w:numPr>
        <w:tabs>
          <w:tab w:val="clear" w:pos="360"/>
          <w:tab w:val="num" w:pos="748"/>
        </w:tabs>
        <w:spacing w:before="80"/>
        <w:ind w:left="748"/>
        <w:pPrChange w:id="1" w:author="Birrane, Edward J." w:date="2020-05-01T17:51:00Z">
          <w:pPr>
            <w:pStyle w:val="List"/>
            <w:numPr>
              <w:numId w:val="25"/>
            </w:numPr>
            <w:tabs>
              <w:tab w:val="num" w:pos="720"/>
              <w:tab w:val="num" w:pos="748"/>
            </w:tabs>
            <w:spacing w:before="80"/>
            <w:ind w:left="748" w:hanging="720"/>
          </w:pPr>
        </w:pPrChange>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6B05B100" w14:textId="77777777" w:rsidR="00A32DEB" w:rsidRDefault="00A32DEB" w:rsidP="00C818EF">
      <w:pPr>
        <w:pStyle w:val="List"/>
        <w:numPr>
          <w:ilvl w:val="0"/>
          <w:numId w:val="11"/>
        </w:numPr>
        <w:tabs>
          <w:tab w:val="clear" w:pos="360"/>
          <w:tab w:val="num" w:pos="748"/>
        </w:tabs>
        <w:spacing w:before="0"/>
        <w:ind w:left="748"/>
        <w:pPrChange w:id="2" w:author="Birrane, Edward J." w:date="2020-05-01T17:51:00Z">
          <w:pPr>
            <w:pStyle w:val="List"/>
            <w:numPr>
              <w:numId w:val="25"/>
            </w:numPr>
            <w:tabs>
              <w:tab w:val="num" w:pos="720"/>
              <w:tab w:val="num" w:pos="748"/>
            </w:tabs>
            <w:spacing w:before="0"/>
            <w:ind w:left="748" w:hanging="720"/>
          </w:pPr>
        </w:pPrChange>
      </w:pPr>
      <w:r>
        <w:t>Canadian Space Agency (CSA)/Canada.</w:t>
      </w:r>
    </w:p>
    <w:p w14:paraId="5464372C" w14:textId="77777777" w:rsidR="00A32DEB" w:rsidRDefault="00A32DEB" w:rsidP="00C818EF">
      <w:pPr>
        <w:pStyle w:val="List"/>
        <w:numPr>
          <w:ilvl w:val="0"/>
          <w:numId w:val="11"/>
        </w:numPr>
        <w:tabs>
          <w:tab w:val="clear" w:pos="360"/>
          <w:tab w:val="num" w:pos="748"/>
        </w:tabs>
        <w:spacing w:before="0"/>
        <w:ind w:left="748"/>
        <w:pPrChange w:id="3" w:author="Birrane, Edward J." w:date="2020-05-01T17:51:00Z">
          <w:pPr>
            <w:pStyle w:val="List"/>
            <w:numPr>
              <w:numId w:val="25"/>
            </w:numPr>
            <w:tabs>
              <w:tab w:val="num" w:pos="720"/>
              <w:tab w:val="num" w:pos="748"/>
            </w:tabs>
            <w:spacing w:before="0"/>
            <w:ind w:left="748" w:hanging="720"/>
          </w:pPr>
        </w:pPrChange>
      </w:pPr>
      <w:r>
        <w:t xml:space="preserve">Centre National </w:t>
      </w:r>
      <w:proofErr w:type="spellStart"/>
      <w:r>
        <w:t>d’Etudes</w:t>
      </w:r>
      <w:proofErr w:type="spellEnd"/>
      <w:r>
        <w:t xml:space="preserve"> </w:t>
      </w:r>
      <w:proofErr w:type="spellStart"/>
      <w:r>
        <w:t>Spatiales</w:t>
      </w:r>
      <w:proofErr w:type="spellEnd"/>
      <w:r>
        <w:t xml:space="preserve"> (CNES)/France.</w:t>
      </w:r>
    </w:p>
    <w:p w14:paraId="23A57BA9" w14:textId="77777777" w:rsidR="00A32DEB" w:rsidRDefault="00A32DEB" w:rsidP="00C818EF">
      <w:pPr>
        <w:pStyle w:val="List"/>
        <w:numPr>
          <w:ilvl w:val="0"/>
          <w:numId w:val="11"/>
        </w:numPr>
        <w:tabs>
          <w:tab w:val="clear" w:pos="360"/>
          <w:tab w:val="num" w:pos="748"/>
        </w:tabs>
        <w:spacing w:before="0"/>
        <w:ind w:left="748"/>
        <w:pPrChange w:id="4" w:author="Birrane, Edward J." w:date="2020-05-01T17:51:00Z">
          <w:pPr>
            <w:pStyle w:val="List"/>
            <w:numPr>
              <w:numId w:val="25"/>
            </w:numPr>
            <w:tabs>
              <w:tab w:val="num" w:pos="720"/>
              <w:tab w:val="num" w:pos="748"/>
            </w:tabs>
            <w:spacing w:before="0"/>
            <w:ind w:left="748" w:hanging="720"/>
          </w:pPr>
        </w:pPrChange>
      </w:pPr>
      <w:r w:rsidRPr="000A2825">
        <w:t>China National Space Administration</w:t>
      </w:r>
      <w:r>
        <w:t xml:space="preserve"> (CNSA)/People’s Republic of China.</w:t>
      </w:r>
    </w:p>
    <w:p w14:paraId="1E85D2B8" w14:textId="77777777" w:rsidR="00A32DEB" w:rsidRDefault="00A32DEB" w:rsidP="00C818EF">
      <w:pPr>
        <w:pStyle w:val="List"/>
        <w:numPr>
          <w:ilvl w:val="0"/>
          <w:numId w:val="11"/>
        </w:numPr>
        <w:tabs>
          <w:tab w:val="clear" w:pos="360"/>
          <w:tab w:val="num" w:pos="748"/>
        </w:tabs>
        <w:spacing w:before="0"/>
        <w:ind w:left="748"/>
        <w:pPrChange w:id="5" w:author="Birrane, Edward J." w:date="2020-05-01T17:51:00Z">
          <w:pPr>
            <w:pStyle w:val="List"/>
            <w:numPr>
              <w:numId w:val="25"/>
            </w:numPr>
            <w:tabs>
              <w:tab w:val="num" w:pos="720"/>
              <w:tab w:val="num" w:pos="748"/>
            </w:tabs>
            <w:spacing w:before="0"/>
            <w:ind w:left="748" w:hanging="720"/>
          </w:pPr>
        </w:pPrChange>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0EF1ABE5" w14:textId="77777777" w:rsidR="00A32DEB" w:rsidRDefault="00A32DEB" w:rsidP="00C818EF">
      <w:pPr>
        <w:pStyle w:val="List"/>
        <w:numPr>
          <w:ilvl w:val="0"/>
          <w:numId w:val="11"/>
        </w:numPr>
        <w:tabs>
          <w:tab w:val="clear" w:pos="360"/>
          <w:tab w:val="num" w:pos="748"/>
        </w:tabs>
        <w:spacing w:before="0"/>
        <w:ind w:left="748"/>
        <w:pPrChange w:id="6" w:author="Birrane, Edward J." w:date="2020-05-01T17:51:00Z">
          <w:pPr>
            <w:pStyle w:val="List"/>
            <w:numPr>
              <w:numId w:val="25"/>
            </w:numPr>
            <w:tabs>
              <w:tab w:val="num" w:pos="720"/>
              <w:tab w:val="num" w:pos="748"/>
            </w:tabs>
            <w:spacing w:before="0"/>
            <w:ind w:left="748" w:hanging="720"/>
          </w:pPr>
        </w:pPrChange>
      </w:pPr>
      <w:r>
        <w:t>European Space Agency (ESA)/Europe.</w:t>
      </w:r>
    </w:p>
    <w:p w14:paraId="685C3BDE" w14:textId="77777777" w:rsidR="00A32DEB" w:rsidRDefault="00A32DEB" w:rsidP="00C818EF">
      <w:pPr>
        <w:pStyle w:val="List"/>
        <w:numPr>
          <w:ilvl w:val="0"/>
          <w:numId w:val="11"/>
        </w:numPr>
        <w:tabs>
          <w:tab w:val="clear" w:pos="360"/>
          <w:tab w:val="num" w:pos="748"/>
        </w:tabs>
        <w:spacing w:before="0"/>
        <w:ind w:left="748"/>
        <w:pPrChange w:id="7" w:author="Birrane, Edward J." w:date="2020-05-01T17:51:00Z">
          <w:pPr>
            <w:pStyle w:val="List"/>
            <w:numPr>
              <w:numId w:val="25"/>
            </w:numPr>
            <w:tabs>
              <w:tab w:val="num" w:pos="720"/>
              <w:tab w:val="num" w:pos="748"/>
            </w:tabs>
            <w:spacing w:before="0"/>
            <w:ind w:left="748" w:hanging="720"/>
          </w:pPr>
        </w:pPrChange>
      </w:pPr>
      <w:r w:rsidRPr="00734EAB">
        <w:t>Federal Space Agency</w:t>
      </w:r>
      <w:r>
        <w:t xml:space="preserve"> (FSA)/</w:t>
      </w:r>
      <w:r w:rsidRPr="00734EAB">
        <w:t>Russian Federation.</w:t>
      </w:r>
    </w:p>
    <w:p w14:paraId="35719F06" w14:textId="77777777" w:rsidR="00A32DEB" w:rsidRDefault="00A32DEB" w:rsidP="00C818EF">
      <w:pPr>
        <w:pStyle w:val="List"/>
        <w:numPr>
          <w:ilvl w:val="0"/>
          <w:numId w:val="11"/>
        </w:numPr>
        <w:tabs>
          <w:tab w:val="clear" w:pos="360"/>
          <w:tab w:val="num" w:pos="748"/>
        </w:tabs>
        <w:spacing w:before="0"/>
        <w:ind w:left="748"/>
        <w:pPrChange w:id="8" w:author="Birrane, Edward J." w:date="2020-05-01T17:51:00Z">
          <w:pPr>
            <w:pStyle w:val="List"/>
            <w:numPr>
              <w:numId w:val="25"/>
            </w:numPr>
            <w:tabs>
              <w:tab w:val="num" w:pos="720"/>
              <w:tab w:val="num" w:pos="748"/>
            </w:tabs>
            <w:spacing w:before="0"/>
            <w:ind w:left="748" w:hanging="720"/>
          </w:pPr>
        </w:pPrChange>
      </w:pPr>
      <w:proofErr w:type="spellStart"/>
      <w:r>
        <w:t>Instituto</w:t>
      </w:r>
      <w:proofErr w:type="spellEnd"/>
      <w:r>
        <w:t xml:space="preserve"> Nacional de </w:t>
      </w:r>
      <w:proofErr w:type="spellStart"/>
      <w:r>
        <w:t>Pesquisas</w:t>
      </w:r>
      <w:proofErr w:type="spellEnd"/>
      <w:r>
        <w:t xml:space="preserve"> </w:t>
      </w:r>
      <w:proofErr w:type="spellStart"/>
      <w:r>
        <w:t>Espaciais</w:t>
      </w:r>
      <w:proofErr w:type="spellEnd"/>
      <w:r>
        <w:t xml:space="preserve"> (INPE)/Brazil.</w:t>
      </w:r>
    </w:p>
    <w:p w14:paraId="62EE67D1" w14:textId="77777777" w:rsidR="00A32DEB" w:rsidRDefault="00A32DEB" w:rsidP="00C818EF">
      <w:pPr>
        <w:pStyle w:val="List"/>
        <w:numPr>
          <w:ilvl w:val="0"/>
          <w:numId w:val="11"/>
        </w:numPr>
        <w:tabs>
          <w:tab w:val="clear" w:pos="360"/>
          <w:tab w:val="num" w:pos="748"/>
        </w:tabs>
        <w:spacing w:before="0"/>
        <w:ind w:left="748"/>
        <w:pPrChange w:id="9" w:author="Birrane, Edward J." w:date="2020-05-01T17:51:00Z">
          <w:pPr>
            <w:pStyle w:val="List"/>
            <w:numPr>
              <w:numId w:val="25"/>
            </w:numPr>
            <w:tabs>
              <w:tab w:val="num" w:pos="720"/>
              <w:tab w:val="num" w:pos="748"/>
            </w:tabs>
            <w:spacing w:before="0"/>
            <w:ind w:left="748" w:hanging="720"/>
          </w:pPr>
        </w:pPrChange>
      </w:pPr>
      <w:r>
        <w:t>Japan Aerospace Exploration Agency (JAXA)/Japan.</w:t>
      </w:r>
    </w:p>
    <w:p w14:paraId="6F11B76E" w14:textId="77777777" w:rsidR="00A32DEB" w:rsidRDefault="00A32DEB" w:rsidP="00C818EF">
      <w:pPr>
        <w:pStyle w:val="List"/>
        <w:numPr>
          <w:ilvl w:val="0"/>
          <w:numId w:val="11"/>
        </w:numPr>
        <w:tabs>
          <w:tab w:val="clear" w:pos="360"/>
          <w:tab w:val="num" w:pos="748"/>
        </w:tabs>
        <w:spacing w:before="0"/>
        <w:ind w:left="748"/>
        <w:pPrChange w:id="10" w:author="Birrane, Edward J." w:date="2020-05-01T17:51:00Z">
          <w:pPr>
            <w:pStyle w:val="List"/>
            <w:numPr>
              <w:numId w:val="25"/>
            </w:numPr>
            <w:tabs>
              <w:tab w:val="num" w:pos="720"/>
              <w:tab w:val="num" w:pos="748"/>
            </w:tabs>
            <w:spacing w:before="0"/>
            <w:ind w:left="748" w:hanging="720"/>
          </w:pPr>
        </w:pPrChange>
      </w:pPr>
      <w:r>
        <w:t>National Aeronautics and Space Administration (NASA)/USA.</w:t>
      </w:r>
    </w:p>
    <w:p w14:paraId="15B6F67E" w14:textId="77777777" w:rsidR="00A32DEB" w:rsidRDefault="00A32DEB" w:rsidP="00C818EF">
      <w:pPr>
        <w:pStyle w:val="List"/>
        <w:numPr>
          <w:ilvl w:val="0"/>
          <w:numId w:val="11"/>
        </w:numPr>
        <w:tabs>
          <w:tab w:val="clear" w:pos="360"/>
          <w:tab w:val="num" w:pos="748"/>
        </w:tabs>
        <w:spacing w:before="0"/>
        <w:ind w:left="748"/>
        <w:pPrChange w:id="11" w:author="Birrane, Edward J." w:date="2020-05-01T17:51:00Z">
          <w:pPr>
            <w:pStyle w:val="List"/>
            <w:numPr>
              <w:numId w:val="25"/>
            </w:numPr>
            <w:tabs>
              <w:tab w:val="num" w:pos="720"/>
              <w:tab w:val="num" w:pos="748"/>
            </w:tabs>
            <w:spacing w:before="0"/>
            <w:ind w:left="748" w:hanging="720"/>
          </w:pPr>
        </w:pPrChange>
      </w:pPr>
      <w:r>
        <w:t>UK Space Agency/United Kingdom.</w:t>
      </w:r>
    </w:p>
    <w:p w14:paraId="271AF93F" w14:textId="77777777" w:rsidR="00A32DEB" w:rsidRDefault="00A32DEB" w:rsidP="00A32DEB">
      <w:r>
        <w:rPr>
          <w:u w:val="single"/>
        </w:rPr>
        <w:t>Observer Agencies</w:t>
      </w:r>
    </w:p>
    <w:p w14:paraId="50D8A593" w14:textId="77777777" w:rsidR="00A32DEB" w:rsidRPr="009F6032" w:rsidRDefault="00A32DEB" w:rsidP="00C818EF">
      <w:pPr>
        <w:pStyle w:val="List"/>
        <w:numPr>
          <w:ilvl w:val="0"/>
          <w:numId w:val="11"/>
        </w:numPr>
        <w:tabs>
          <w:tab w:val="clear" w:pos="360"/>
          <w:tab w:val="num" w:pos="748"/>
        </w:tabs>
        <w:spacing w:before="80"/>
        <w:ind w:left="748"/>
        <w:rPr>
          <w:sz w:val="22"/>
          <w:szCs w:val="22"/>
        </w:rPr>
        <w:pPrChange w:id="12" w:author="Birrane, Edward J." w:date="2020-05-01T17:51:00Z">
          <w:pPr>
            <w:pStyle w:val="List"/>
            <w:numPr>
              <w:numId w:val="25"/>
            </w:numPr>
            <w:tabs>
              <w:tab w:val="num" w:pos="720"/>
              <w:tab w:val="num" w:pos="748"/>
            </w:tabs>
            <w:spacing w:before="80"/>
            <w:ind w:left="748" w:hanging="720"/>
          </w:pPr>
        </w:pPrChange>
      </w:pPr>
      <w:r w:rsidRPr="009F6032">
        <w:rPr>
          <w:sz w:val="22"/>
          <w:szCs w:val="22"/>
        </w:rPr>
        <w:t>Austrian Space Agency (ASA)/Austria.</w:t>
      </w:r>
    </w:p>
    <w:p w14:paraId="2254E161"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13" w:author="Birrane, Edward J." w:date="2020-05-01T17:51:00Z">
          <w:pPr>
            <w:pStyle w:val="List"/>
            <w:numPr>
              <w:numId w:val="25"/>
            </w:numPr>
            <w:tabs>
              <w:tab w:val="num" w:pos="720"/>
              <w:tab w:val="num" w:pos="748"/>
            </w:tabs>
            <w:spacing w:before="0"/>
            <w:ind w:left="748" w:hanging="720"/>
          </w:pPr>
        </w:pPrChange>
      </w:pPr>
      <w:r w:rsidRPr="009F6032">
        <w:rPr>
          <w:sz w:val="22"/>
          <w:szCs w:val="22"/>
        </w:rPr>
        <w:t>Belgian Federal Science Policy Office (BFSPO)/Belgium.</w:t>
      </w:r>
    </w:p>
    <w:p w14:paraId="2D570C13"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14" w:author="Birrane, Edward J." w:date="2020-05-01T17:51:00Z">
          <w:pPr>
            <w:pStyle w:val="List"/>
            <w:numPr>
              <w:numId w:val="25"/>
            </w:numPr>
            <w:tabs>
              <w:tab w:val="num" w:pos="720"/>
              <w:tab w:val="num" w:pos="748"/>
            </w:tabs>
            <w:spacing w:before="0"/>
            <w:ind w:left="748" w:hanging="720"/>
          </w:pPr>
        </w:pPrChange>
      </w:pPr>
      <w:r w:rsidRPr="009F6032">
        <w:rPr>
          <w:sz w:val="22"/>
          <w:szCs w:val="22"/>
        </w:rPr>
        <w:t>Central Research Institute of Machine Building (</w:t>
      </w:r>
      <w:proofErr w:type="spellStart"/>
      <w:r w:rsidRPr="009F6032">
        <w:rPr>
          <w:sz w:val="22"/>
          <w:szCs w:val="22"/>
        </w:rPr>
        <w:t>TsNIIMash</w:t>
      </w:r>
      <w:proofErr w:type="spellEnd"/>
      <w:r w:rsidRPr="009F6032">
        <w:rPr>
          <w:sz w:val="22"/>
          <w:szCs w:val="22"/>
        </w:rPr>
        <w:t>)/Russian Federation.</w:t>
      </w:r>
    </w:p>
    <w:p w14:paraId="7F76F377"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15" w:author="Birrane, Edward J." w:date="2020-05-01T17:51:00Z">
          <w:pPr>
            <w:pStyle w:val="List"/>
            <w:numPr>
              <w:numId w:val="25"/>
            </w:numPr>
            <w:tabs>
              <w:tab w:val="num" w:pos="720"/>
              <w:tab w:val="num" w:pos="748"/>
            </w:tabs>
            <w:spacing w:before="0"/>
            <w:ind w:left="748" w:hanging="720"/>
          </w:pPr>
        </w:pPrChange>
      </w:pPr>
      <w:r w:rsidRPr="009F6032">
        <w:rPr>
          <w:sz w:val="22"/>
          <w:szCs w:val="22"/>
        </w:rPr>
        <w:t>China Satellite Launch and Tracking Control General, Beijing Institute of Tracking and Telecommunications Technology (CLTC/BITTT)/China.</w:t>
      </w:r>
    </w:p>
    <w:p w14:paraId="11670FC6"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16" w:author="Birrane, Edward J." w:date="2020-05-01T17:51:00Z">
          <w:pPr>
            <w:pStyle w:val="List"/>
            <w:numPr>
              <w:numId w:val="25"/>
            </w:numPr>
            <w:tabs>
              <w:tab w:val="num" w:pos="720"/>
              <w:tab w:val="num" w:pos="748"/>
            </w:tabs>
            <w:spacing w:before="0"/>
            <w:ind w:left="748" w:hanging="720"/>
          </w:pPr>
        </w:pPrChange>
      </w:pPr>
      <w:r w:rsidRPr="009F6032">
        <w:rPr>
          <w:sz w:val="22"/>
          <w:szCs w:val="22"/>
        </w:rPr>
        <w:t>Chinese Academy of Sciences (CAS)/China.</w:t>
      </w:r>
    </w:p>
    <w:p w14:paraId="39D4D601"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17" w:author="Birrane, Edward J." w:date="2020-05-01T17:51:00Z">
          <w:pPr>
            <w:pStyle w:val="List"/>
            <w:numPr>
              <w:numId w:val="25"/>
            </w:numPr>
            <w:tabs>
              <w:tab w:val="num" w:pos="720"/>
              <w:tab w:val="num" w:pos="748"/>
            </w:tabs>
            <w:spacing w:before="0"/>
            <w:ind w:left="748" w:hanging="720"/>
          </w:pPr>
        </w:pPrChange>
      </w:pPr>
      <w:r w:rsidRPr="009F6032">
        <w:rPr>
          <w:sz w:val="22"/>
          <w:szCs w:val="22"/>
        </w:rPr>
        <w:t>Chinese Academy of Space Technology (CAST)/China.</w:t>
      </w:r>
    </w:p>
    <w:p w14:paraId="3522AB3F"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18" w:author="Birrane, Edward J." w:date="2020-05-01T17:51:00Z">
          <w:pPr>
            <w:pStyle w:val="List"/>
            <w:numPr>
              <w:numId w:val="25"/>
            </w:numPr>
            <w:tabs>
              <w:tab w:val="num" w:pos="720"/>
              <w:tab w:val="num" w:pos="748"/>
            </w:tabs>
            <w:spacing w:before="0"/>
            <w:ind w:left="748" w:hanging="720"/>
          </w:pPr>
        </w:pPrChange>
      </w:pPr>
      <w:r w:rsidRPr="009F6032">
        <w:rPr>
          <w:sz w:val="22"/>
          <w:szCs w:val="22"/>
        </w:rPr>
        <w:t>Commonwealth Scientific and Industrial Research Organization (CSIRO)/Australia.</w:t>
      </w:r>
    </w:p>
    <w:p w14:paraId="0E106349"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19" w:author="Birrane, Edward J." w:date="2020-05-01T17:51:00Z">
          <w:pPr>
            <w:pStyle w:val="List"/>
            <w:numPr>
              <w:numId w:val="25"/>
            </w:numPr>
            <w:tabs>
              <w:tab w:val="num" w:pos="720"/>
              <w:tab w:val="num" w:pos="748"/>
            </w:tabs>
            <w:spacing w:before="0"/>
            <w:ind w:left="748" w:hanging="720"/>
          </w:pPr>
        </w:pPrChange>
      </w:pPr>
      <w:r w:rsidRPr="009F6032">
        <w:rPr>
          <w:sz w:val="22"/>
          <w:szCs w:val="22"/>
        </w:rPr>
        <w:t>Danish National Space Center (DNSC)/Denmark.</w:t>
      </w:r>
    </w:p>
    <w:p w14:paraId="25BDA15E"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20" w:author="Birrane, Edward J." w:date="2020-05-01T17:51:00Z">
          <w:pPr>
            <w:pStyle w:val="List"/>
            <w:numPr>
              <w:numId w:val="25"/>
            </w:numPr>
            <w:tabs>
              <w:tab w:val="num" w:pos="720"/>
              <w:tab w:val="num" w:pos="748"/>
            </w:tabs>
            <w:spacing w:before="0"/>
            <w:ind w:left="748" w:hanging="720"/>
          </w:pPr>
        </w:pPrChange>
      </w:pPr>
      <w:proofErr w:type="spellStart"/>
      <w:r w:rsidRPr="009F6032">
        <w:rPr>
          <w:sz w:val="22"/>
          <w:szCs w:val="22"/>
        </w:rPr>
        <w:t>Departamento</w:t>
      </w:r>
      <w:proofErr w:type="spellEnd"/>
      <w:r w:rsidRPr="009F6032">
        <w:rPr>
          <w:sz w:val="22"/>
          <w:szCs w:val="22"/>
        </w:rPr>
        <w:t xml:space="preserve"> de </w:t>
      </w:r>
      <w:proofErr w:type="spellStart"/>
      <w:r w:rsidRPr="009F6032">
        <w:rPr>
          <w:sz w:val="22"/>
          <w:szCs w:val="22"/>
        </w:rPr>
        <w:t>Ciência</w:t>
      </w:r>
      <w:proofErr w:type="spellEnd"/>
      <w:r w:rsidRPr="009F6032">
        <w:rPr>
          <w:sz w:val="22"/>
          <w:szCs w:val="22"/>
        </w:rPr>
        <w:t xml:space="preserve"> e </w:t>
      </w:r>
      <w:proofErr w:type="spellStart"/>
      <w:r w:rsidRPr="009F6032">
        <w:rPr>
          <w:sz w:val="22"/>
          <w:szCs w:val="22"/>
        </w:rPr>
        <w:t>Tecnologia</w:t>
      </w:r>
      <w:proofErr w:type="spellEnd"/>
      <w:r w:rsidRPr="009F6032">
        <w:rPr>
          <w:sz w:val="22"/>
          <w:szCs w:val="22"/>
        </w:rPr>
        <w:t xml:space="preserve"> </w:t>
      </w:r>
      <w:proofErr w:type="spellStart"/>
      <w:r w:rsidRPr="009F6032">
        <w:rPr>
          <w:sz w:val="22"/>
          <w:szCs w:val="22"/>
        </w:rPr>
        <w:t>Aeroespacial</w:t>
      </w:r>
      <w:proofErr w:type="spellEnd"/>
      <w:r w:rsidRPr="009F6032">
        <w:rPr>
          <w:sz w:val="22"/>
          <w:szCs w:val="22"/>
        </w:rPr>
        <w:t xml:space="preserve"> (DCTA)/Brazil.</w:t>
      </w:r>
    </w:p>
    <w:p w14:paraId="76E44F50"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21" w:author="Birrane, Edward J." w:date="2020-05-01T17:51:00Z">
          <w:pPr>
            <w:pStyle w:val="List"/>
            <w:numPr>
              <w:numId w:val="25"/>
            </w:numPr>
            <w:tabs>
              <w:tab w:val="num" w:pos="720"/>
              <w:tab w:val="num" w:pos="748"/>
            </w:tabs>
            <w:spacing w:before="0"/>
            <w:ind w:left="748" w:hanging="720"/>
          </w:pPr>
        </w:pPrChange>
      </w:pPr>
      <w:r w:rsidRPr="009F6032">
        <w:rPr>
          <w:sz w:val="22"/>
          <w:szCs w:val="22"/>
        </w:rPr>
        <w:t>Electronics and Telecommunications Research Institute (ETRI)/Korea.</w:t>
      </w:r>
    </w:p>
    <w:p w14:paraId="2FC3AACC" w14:textId="77777777" w:rsidR="00A32DEB" w:rsidRPr="009F6032" w:rsidRDefault="00A32DEB" w:rsidP="00C818EF">
      <w:pPr>
        <w:pStyle w:val="List"/>
        <w:numPr>
          <w:ilvl w:val="0"/>
          <w:numId w:val="11"/>
        </w:numPr>
        <w:tabs>
          <w:tab w:val="clear" w:pos="360"/>
          <w:tab w:val="num" w:pos="748"/>
        </w:tabs>
        <w:spacing w:before="0"/>
        <w:ind w:left="748"/>
        <w:rPr>
          <w:spacing w:val="-2"/>
          <w:sz w:val="22"/>
          <w:szCs w:val="22"/>
        </w:rPr>
        <w:pPrChange w:id="22" w:author="Birrane, Edward J." w:date="2020-05-01T17:51:00Z">
          <w:pPr>
            <w:pStyle w:val="List"/>
            <w:numPr>
              <w:numId w:val="25"/>
            </w:numPr>
            <w:tabs>
              <w:tab w:val="num" w:pos="720"/>
              <w:tab w:val="num" w:pos="748"/>
            </w:tabs>
            <w:spacing w:before="0"/>
            <w:ind w:left="748" w:hanging="720"/>
          </w:pPr>
        </w:pPrChange>
      </w:pPr>
      <w:r w:rsidRPr="009F6032">
        <w:rPr>
          <w:spacing w:val="-2"/>
          <w:sz w:val="22"/>
          <w:szCs w:val="22"/>
        </w:rPr>
        <w:t>European Organization for the Exploitation of Meteorological Satellites (EUMETSAT)/Europe.</w:t>
      </w:r>
    </w:p>
    <w:p w14:paraId="007C1BF8"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23" w:author="Birrane, Edward J." w:date="2020-05-01T17:51:00Z">
          <w:pPr>
            <w:pStyle w:val="List"/>
            <w:numPr>
              <w:numId w:val="25"/>
            </w:numPr>
            <w:tabs>
              <w:tab w:val="num" w:pos="720"/>
              <w:tab w:val="num" w:pos="748"/>
            </w:tabs>
            <w:spacing w:before="0"/>
            <w:ind w:left="748" w:hanging="720"/>
          </w:pPr>
        </w:pPrChange>
      </w:pPr>
      <w:r w:rsidRPr="009F6032">
        <w:rPr>
          <w:sz w:val="22"/>
          <w:szCs w:val="22"/>
        </w:rPr>
        <w:t>European Telecommunications Satellite Organization (EUTELSAT)/Europe.</w:t>
      </w:r>
    </w:p>
    <w:p w14:paraId="3449B3FD"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24" w:author="Birrane, Edward J." w:date="2020-05-01T17:51:00Z">
          <w:pPr>
            <w:pStyle w:val="List"/>
            <w:numPr>
              <w:numId w:val="25"/>
            </w:numPr>
            <w:tabs>
              <w:tab w:val="num" w:pos="720"/>
              <w:tab w:val="num" w:pos="748"/>
            </w:tabs>
            <w:spacing w:before="0"/>
            <w:ind w:left="748" w:hanging="720"/>
          </w:pPr>
        </w:pPrChange>
      </w:pPr>
      <w:r w:rsidRPr="009F6032">
        <w:rPr>
          <w:sz w:val="22"/>
          <w:szCs w:val="22"/>
        </w:rPr>
        <w:t>Geo-Informatics and Space Technology Development Agency (GISTDA)/Thailand.</w:t>
      </w:r>
    </w:p>
    <w:p w14:paraId="0A8AC1EA"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25" w:author="Birrane, Edward J." w:date="2020-05-01T17:51:00Z">
          <w:pPr>
            <w:pStyle w:val="List"/>
            <w:numPr>
              <w:numId w:val="25"/>
            </w:numPr>
            <w:tabs>
              <w:tab w:val="num" w:pos="720"/>
              <w:tab w:val="num" w:pos="748"/>
            </w:tabs>
            <w:spacing w:before="0"/>
            <w:ind w:left="748" w:hanging="720"/>
          </w:pPr>
        </w:pPrChange>
      </w:pPr>
      <w:r w:rsidRPr="009F6032">
        <w:rPr>
          <w:sz w:val="22"/>
          <w:szCs w:val="22"/>
        </w:rPr>
        <w:t>Hellenic National Space Committee (HNSC)/Greece.</w:t>
      </w:r>
    </w:p>
    <w:p w14:paraId="083DD430"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26" w:author="Birrane, Edward J." w:date="2020-05-01T17:51:00Z">
          <w:pPr>
            <w:pStyle w:val="List"/>
            <w:numPr>
              <w:numId w:val="25"/>
            </w:numPr>
            <w:tabs>
              <w:tab w:val="num" w:pos="720"/>
              <w:tab w:val="num" w:pos="748"/>
            </w:tabs>
            <w:spacing w:before="0"/>
            <w:ind w:left="748" w:hanging="720"/>
          </w:pPr>
        </w:pPrChange>
      </w:pPr>
      <w:r w:rsidRPr="009F6032">
        <w:rPr>
          <w:sz w:val="22"/>
          <w:szCs w:val="22"/>
        </w:rPr>
        <w:t>Indian Space Research Organization (ISRO)/India.</w:t>
      </w:r>
    </w:p>
    <w:p w14:paraId="4701EAAD"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27" w:author="Birrane, Edward J." w:date="2020-05-01T17:51:00Z">
          <w:pPr>
            <w:pStyle w:val="List"/>
            <w:numPr>
              <w:numId w:val="25"/>
            </w:numPr>
            <w:tabs>
              <w:tab w:val="num" w:pos="720"/>
              <w:tab w:val="num" w:pos="748"/>
            </w:tabs>
            <w:spacing w:before="0"/>
            <w:ind w:left="748" w:hanging="720"/>
          </w:pPr>
        </w:pPrChange>
      </w:pPr>
      <w:r w:rsidRPr="009F6032">
        <w:rPr>
          <w:sz w:val="22"/>
          <w:szCs w:val="22"/>
        </w:rPr>
        <w:t>Institute of Space Research (IKI)/Russian Federation.</w:t>
      </w:r>
    </w:p>
    <w:p w14:paraId="2F94B7A4"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28" w:author="Birrane, Edward J." w:date="2020-05-01T17:51:00Z">
          <w:pPr>
            <w:pStyle w:val="List"/>
            <w:numPr>
              <w:numId w:val="25"/>
            </w:numPr>
            <w:tabs>
              <w:tab w:val="num" w:pos="720"/>
              <w:tab w:val="num" w:pos="748"/>
            </w:tabs>
            <w:spacing w:before="0"/>
            <w:ind w:left="748" w:hanging="720"/>
          </w:pPr>
        </w:pPrChange>
      </w:pPr>
      <w:r w:rsidRPr="009F6032">
        <w:rPr>
          <w:sz w:val="22"/>
          <w:szCs w:val="22"/>
        </w:rPr>
        <w:t>Korea Aerospace Research Institute (KARI)/Korea.</w:t>
      </w:r>
    </w:p>
    <w:p w14:paraId="7755E6FE" w14:textId="77777777" w:rsidR="00A32DEB" w:rsidRDefault="00A32DEB" w:rsidP="00C818EF">
      <w:pPr>
        <w:pStyle w:val="List"/>
        <w:numPr>
          <w:ilvl w:val="0"/>
          <w:numId w:val="11"/>
        </w:numPr>
        <w:tabs>
          <w:tab w:val="clear" w:pos="360"/>
          <w:tab w:val="num" w:pos="748"/>
        </w:tabs>
        <w:spacing w:before="0"/>
        <w:ind w:left="748"/>
        <w:rPr>
          <w:sz w:val="22"/>
          <w:szCs w:val="22"/>
        </w:rPr>
        <w:pPrChange w:id="29" w:author="Birrane, Edward J." w:date="2020-05-01T17:51:00Z">
          <w:pPr>
            <w:pStyle w:val="List"/>
            <w:numPr>
              <w:numId w:val="25"/>
            </w:numPr>
            <w:tabs>
              <w:tab w:val="num" w:pos="720"/>
              <w:tab w:val="num" w:pos="748"/>
            </w:tabs>
            <w:spacing w:before="0"/>
            <w:ind w:left="748" w:hanging="720"/>
          </w:pPr>
        </w:pPrChange>
      </w:pPr>
      <w:r w:rsidRPr="009F6032">
        <w:rPr>
          <w:sz w:val="22"/>
          <w:szCs w:val="22"/>
        </w:rPr>
        <w:t>Ministry of Communications (MOC)/Israel.</w:t>
      </w:r>
    </w:p>
    <w:p w14:paraId="358B8500"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30" w:author="Birrane, Edward J." w:date="2020-05-01T17:51:00Z">
          <w:pPr>
            <w:pStyle w:val="List"/>
            <w:numPr>
              <w:numId w:val="25"/>
            </w:numPr>
            <w:tabs>
              <w:tab w:val="num" w:pos="720"/>
              <w:tab w:val="num" w:pos="748"/>
            </w:tabs>
            <w:spacing w:before="0"/>
            <w:ind w:left="748" w:hanging="720"/>
          </w:pPr>
        </w:pPrChange>
      </w:pPr>
      <w:r w:rsidRPr="00FC0008">
        <w:rPr>
          <w:sz w:val="22"/>
          <w:szCs w:val="22"/>
        </w:rPr>
        <w:t>Mohammed Bin Rashid Space Centre (MBRSC)/United Arab Emirates</w:t>
      </w:r>
      <w:r>
        <w:rPr>
          <w:sz w:val="22"/>
          <w:szCs w:val="22"/>
        </w:rPr>
        <w:t>.</w:t>
      </w:r>
    </w:p>
    <w:p w14:paraId="447A2C0A"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31" w:author="Birrane, Edward J." w:date="2020-05-01T17:51:00Z">
          <w:pPr>
            <w:pStyle w:val="List"/>
            <w:numPr>
              <w:numId w:val="25"/>
            </w:numPr>
            <w:tabs>
              <w:tab w:val="num" w:pos="720"/>
              <w:tab w:val="num" w:pos="748"/>
            </w:tabs>
            <w:spacing w:before="0"/>
            <w:ind w:left="748" w:hanging="720"/>
          </w:pPr>
        </w:pPrChange>
      </w:pPr>
      <w:r w:rsidRPr="009F6032">
        <w:rPr>
          <w:sz w:val="22"/>
          <w:szCs w:val="22"/>
        </w:rPr>
        <w:t>National Institute of Information and Communications Technology (NICT)/Japan.</w:t>
      </w:r>
    </w:p>
    <w:p w14:paraId="1DF849B6"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32" w:author="Birrane, Edward J." w:date="2020-05-01T17:51:00Z">
          <w:pPr>
            <w:pStyle w:val="List"/>
            <w:numPr>
              <w:numId w:val="25"/>
            </w:numPr>
            <w:tabs>
              <w:tab w:val="num" w:pos="720"/>
              <w:tab w:val="num" w:pos="748"/>
            </w:tabs>
            <w:spacing w:before="0"/>
            <w:ind w:left="748" w:hanging="720"/>
          </w:pPr>
        </w:pPrChange>
      </w:pPr>
      <w:r w:rsidRPr="009F6032">
        <w:rPr>
          <w:sz w:val="22"/>
          <w:szCs w:val="22"/>
        </w:rPr>
        <w:t>National Oceanic and Atmospheric Administration (NOAA)/USA.</w:t>
      </w:r>
    </w:p>
    <w:p w14:paraId="593088EF"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33" w:author="Birrane, Edward J." w:date="2020-05-01T17:51:00Z">
          <w:pPr>
            <w:pStyle w:val="List"/>
            <w:numPr>
              <w:numId w:val="25"/>
            </w:numPr>
            <w:tabs>
              <w:tab w:val="num" w:pos="720"/>
              <w:tab w:val="num" w:pos="748"/>
            </w:tabs>
            <w:spacing w:before="0"/>
            <w:ind w:left="748" w:hanging="720"/>
          </w:pPr>
        </w:pPrChange>
      </w:pPr>
      <w:r w:rsidRPr="009F6032">
        <w:rPr>
          <w:sz w:val="22"/>
          <w:szCs w:val="22"/>
        </w:rPr>
        <w:t>National Space Agency of the Republic of Kazakhstan (NSARK)/Kazakhstan.</w:t>
      </w:r>
    </w:p>
    <w:p w14:paraId="36020D0B"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34" w:author="Birrane, Edward J." w:date="2020-05-01T17:51:00Z">
          <w:pPr>
            <w:pStyle w:val="List"/>
            <w:numPr>
              <w:numId w:val="25"/>
            </w:numPr>
            <w:tabs>
              <w:tab w:val="num" w:pos="720"/>
              <w:tab w:val="num" w:pos="748"/>
            </w:tabs>
            <w:spacing w:before="0"/>
            <w:ind w:left="748" w:hanging="720"/>
          </w:pPr>
        </w:pPrChange>
      </w:pPr>
      <w:r w:rsidRPr="009F6032">
        <w:rPr>
          <w:sz w:val="22"/>
          <w:szCs w:val="22"/>
        </w:rPr>
        <w:t>National Space Organization (NSPO)/Chinese Taipei.</w:t>
      </w:r>
    </w:p>
    <w:p w14:paraId="07BB3F22"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35" w:author="Birrane, Edward J." w:date="2020-05-01T17:51:00Z">
          <w:pPr>
            <w:pStyle w:val="List"/>
            <w:numPr>
              <w:numId w:val="25"/>
            </w:numPr>
            <w:tabs>
              <w:tab w:val="num" w:pos="720"/>
              <w:tab w:val="num" w:pos="748"/>
            </w:tabs>
            <w:spacing w:before="0"/>
            <w:ind w:left="748" w:hanging="720"/>
          </w:pPr>
        </w:pPrChange>
      </w:pPr>
      <w:r w:rsidRPr="009F6032">
        <w:rPr>
          <w:sz w:val="22"/>
          <w:szCs w:val="22"/>
        </w:rPr>
        <w:t>Naval Center for Space Technology (NCST)/USA.</w:t>
      </w:r>
    </w:p>
    <w:p w14:paraId="3571B08D"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36" w:author="Birrane, Edward J." w:date="2020-05-01T17:51:00Z">
          <w:pPr>
            <w:pStyle w:val="List"/>
            <w:numPr>
              <w:numId w:val="25"/>
            </w:numPr>
            <w:tabs>
              <w:tab w:val="num" w:pos="720"/>
              <w:tab w:val="num" w:pos="748"/>
            </w:tabs>
            <w:spacing w:before="0"/>
            <w:ind w:left="748" w:hanging="720"/>
          </w:pPr>
        </w:pPrChange>
      </w:pPr>
      <w:r w:rsidRPr="009F6032">
        <w:rPr>
          <w:sz w:val="22"/>
          <w:szCs w:val="22"/>
        </w:rPr>
        <w:t xml:space="preserve">Research Institute for Particle </w:t>
      </w:r>
      <w:r>
        <w:rPr>
          <w:sz w:val="22"/>
          <w:szCs w:val="22"/>
        </w:rPr>
        <w:t>&amp;</w:t>
      </w:r>
      <w:r w:rsidRPr="009F6032">
        <w:rPr>
          <w:sz w:val="22"/>
          <w:szCs w:val="22"/>
        </w:rPr>
        <w:t xml:space="preserve"> Nuclear Physics (KFKI)/Hungary.</w:t>
      </w:r>
    </w:p>
    <w:p w14:paraId="658EE9B6"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37" w:author="Birrane, Edward J." w:date="2020-05-01T17:51:00Z">
          <w:pPr>
            <w:pStyle w:val="List"/>
            <w:numPr>
              <w:numId w:val="25"/>
            </w:numPr>
            <w:tabs>
              <w:tab w:val="num" w:pos="720"/>
              <w:tab w:val="num" w:pos="748"/>
            </w:tabs>
            <w:spacing w:before="0"/>
            <w:ind w:left="748" w:hanging="720"/>
          </w:pPr>
        </w:pPrChange>
      </w:pPr>
      <w:r w:rsidRPr="009F6032">
        <w:rPr>
          <w:sz w:val="22"/>
          <w:szCs w:val="22"/>
        </w:rPr>
        <w:t>Scientific and Technological Research Council of Turkey (TUBITAK)/Turkey.</w:t>
      </w:r>
    </w:p>
    <w:p w14:paraId="36A8D8D0" w14:textId="77777777" w:rsidR="00A32DEB" w:rsidRPr="009F6032" w:rsidRDefault="00A32DEB" w:rsidP="00C818EF">
      <w:pPr>
        <w:pStyle w:val="List"/>
        <w:numPr>
          <w:ilvl w:val="0"/>
          <w:numId w:val="11"/>
        </w:numPr>
        <w:tabs>
          <w:tab w:val="clear" w:pos="360"/>
          <w:tab w:val="num" w:pos="748"/>
        </w:tabs>
        <w:spacing w:before="0"/>
        <w:ind w:left="720"/>
        <w:rPr>
          <w:sz w:val="22"/>
          <w:szCs w:val="22"/>
        </w:rPr>
        <w:pPrChange w:id="38" w:author="Birrane, Edward J." w:date="2020-05-01T17:51:00Z">
          <w:pPr>
            <w:pStyle w:val="List"/>
            <w:numPr>
              <w:numId w:val="25"/>
            </w:numPr>
            <w:tabs>
              <w:tab w:val="num" w:pos="720"/>
              <w:tab w:val="num" w:pos="748"/>
            </w:tabs>
            <w:spacing w:before="0"/>
            <w:ind w:hanging="720"/>
          </w:pPr>
        </w:pPrChange>
      </w:pPr>
      <w:r w:rsidRPr="009F6032">
        <w:rPr>
          <w:sz w:val="22"/>
          <w:szCs w:val="22"/>
        </w:rPr>
        <w:t>South African National Space Agency (SANSA)/Republic of South Africa.</w:t>
      </w:r>
    </w:p>
    <w:p w14:paraId="06927A69"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39" w:author="Birrane, Edward J." w:date="2020-05-01T17:51:00Z">
          <w:pPr>
            <w:pStyle w:val="List"/>
            <w:numPr>
              <w:numId w:val="25"/>
            </w:numPr>
            <w:tabs>
              <w:tab w:val="num" w:pos="720"/>
              <w:tab w:val="num" w:pos="748"/>
            </w:tabs>
            <w:spacing w:before="0"/>
            <w:ind w:left="748" w:hanging="720"/>
          </w:pPr>
        </w:pPrChange>
      </w:pPr>
      <w:r w:rsidRPr="009F6032">
        <w:rPr>
          <w:sz w:val="22"/>
          <w:szCs w:val="22"/>
        </w:rPr>
        <w:t>Space and Upper Atmosphere Research Commission (SUPARCO)/Pakistan.</w:t>
      </w:r>
    </w:p>
    <w:p w14:paraId="3C6EAF43"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40" w:author="Birrane, Edward J." w:date="2020-05-01T17:51:00Z">
          <w:pPr>
            <w:pStyle w:val="List"/>
            <w:numPr>
              <w:numId w:val="25"/>
            </w:numPr>
            <w:tabs>
              <w:tab w:val="num" w:pos="720"/>
              <w:tab w:val="num" w:pos="748"/>
            </w:tabs>
            <w:spacing w:before="0"/>
            <w:ind w:left="748" w:hanging="720"/>
          </w:pPr>
        </w:pPrChange>
      </w:pPr>
      <w:r w:rsidRPr="009F6032">
        <w:rPr>
          <w:sz w:val="22"/>
          <w:szCs w:val="22"/>
        </w:rPr>
        <w:t>Swedish Space Corporation (SSC)/Sweden.</w:t>
      </w:r>
    </w:p>
    <w:p w14:paraId="7D46821D" w14:textId="77777777" w:rsidR="00A32DEB" w:rsidRPr="009F6032" w:rsidRDefault="00A32DEB" w:rsidP="00C818EF">
      <w:pPr>
        <w:pStyle w:val="List"/>
        <w:numPr>
          <w:ilvl w:val="0"/>
          <w:numId w:val="11"/>
        </w:numPr>
        <w:tabs>
          <w:tab w:val="clear" w:pos="360"/>
          <w:tab w:val="num" w:pos="748"/>
        </w:tabs>
        <w:spacing w:before="0"/>
        <w:ind w:left="748"/>
        <w:rPr>
          <w:sz w:val="22"/>
          <w:szCs w:val="22"/>
        </w:rPr>
        <w:pPrChange w:id="41" w:author="Birrane, Edward J." w:date="2020-05-01T17:51:00Z">
          <w:pPr>
            <w:pStyle w:val="List"/>
            <w:numPr>
              <w:numId w:val="25"/>
            </w:numPr>
            <w:tabs>
              <w:tab w:val="num" w:pos="720"/>
              <w:tab w:val="num" w:pos="748"/>
            </w:tabs>
            <w:spacing w:before="0"/>
            <w:ind w:left="748" w:hanging="720"/>
          </w:pPr>
        </w:pPrChange>
      </w:pPr>
      <w:r w:rsidRPr="009F6032">
        <w:rPr>
          <w:sz w:val="22"/>
          <w:szCs w:val="22"/>
        </w:rPr>
        <w:t>Swiss Space Office (SSO)/Switzerland.</w:t>
      </w:r>
    </w:p>
    <w:p w14:paraId="14FA9E81" w14:textId="77777777" w:rsidR="00A32DEB" w:rsidRPr="009F6032" w:rsidRDefault="00A32DEB" w:rsidP="00C818EF">
      <w:pPr>
        <w:pStyle w:val="List"/>
        <w:numPr>
          <w:ilvl w:val="0"/>
          <w:numId w:val="12"/>
        </w:numPr>
        <w:tabs>
          <w:tab w:val="clear" w:pos="360"/>
          <w:tab w:val="num" w:pos="720"/>
        </w:tabs>
        <w:spacing w:before="0"/>
        <w:ind w:left="720"/>
        <w:rPr>
          <w:sz w:val="22"/>
          <w:szCs w:val="22"/>
        </w:rPr>
        <w:pPrChange w:id="42" w:author="Birrane, Edward J." w:date="2020-05-01T17:51:00Z">
          <w:pPr>
            <w:pStyle w:val="List"/>
            <w:numPr>
              <w:numId w:val="26"/>
            </w:numPr>
            <w:tabs>
              <w:tab w:val="num" w:pos="720"/>
            </w:tabs>
            <w:spacing w:before="0"/>
          </w:pPr>
        </w:pPrChange>
      </w:pPr>
      <w:r w:rsidRPr="009F6032">
        <w:rPr>
          <w:sz w:val="22"/>
          <w:szCs w:val="22"/>
        </w:rPr>
        <w:t>United States Geological Survey (USGS)/USA.</w:t>
      </w:r>
    </w:p>
    <w:p w14:paraId="6D9F7A06" w14:textId="77777777" w:rsidR="00A32DEB" w:rsidRDefault="00A32DEB" w:rsidP="00A32DEB">
      <w:pPr>
        <w:pStyle w:val="CenteredHeading"/>
      </w:pPr>
      <w:r>
        <w:lastRenderedPageBreak/>
        <w:t>PREFACE</w:t>
      </w:r>
    </w:p>
    <w:p w14:paraId="1A193D1B" w14:textId="0FD56A4A" w:rsidR="00A32DEB" w:rsidRDefault="00A32DEB" w:rsidP="00394053">
      <w:pPr>
        <w:jc w:val="both"/>
        <w:rPr>
          <w:spacing w:val="-2"/>
        </w:rPr>
      </w:pPr>
      <w:r>
        <w:rPr>
          <w:spacing w:val="-2"/>
        </w:rPr>
        <w:t>This document is a draft CCSDS Recommended Standard.  Its ‘Red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14:paraId="095B4385" w14:textId="77777777" w:rsidR="00122635" w:rsidRDefault="00122635" w:rsidP="00394053">
      <w:pPr>
        <w:jc w:val="both"/>
        <w:rPr>
          <w:spacing w:val="-2"/>
        </w:rPr>
      </w:pPr>
    </w:p>
    <w:p w14:paraId="5549F146" w14:textId="77777777" w:rsidR="00A32DEB" w:rsidRDefault="00A32DEB" w:rsidP="00394053">
      <w:pPr>
        <w:jc w:val="both"/>
      </w:pPr>
      <w:r>
        <w:t xml:space="preserve">Implementers are cautioned </w:t>
      </w:r>
      <w:r>
        <w:rPr>
          <w:b/>
          <w:bCs/>
        </w:rPr>
        <w:t>not</w:t>
      </w:r>
      <w:r>
        <w:t xml:space="preserve"> to fabricate any final equipment in accordance with this document’s technical content.</w:t>
      </w:r>
    </w:p>
    <w:p w14:paraId="302873A3" w14:textId="77777777" w:rsidR="00122635" w:rsidRDefault="00122635" w:rsidP="00A32DEB"/>
    <w:p w14:paraId="10B9FAAD" w14:textId="5E885B6E" w:rsidR="00A32DEB" w:rsidRPr="00591A42" w:rsidRDefault="00A32DEB" w:rsidP="00394053">
      <w:pPr>
        <w:jc w:val="both"/>
        <w:rPr>
          <w:rFonts w:eastAsia="MS Mincho"/>
        </w:rPr>
      </w:pPr>
      <w:r>
        <w:t>Recipients of this draft are invited to submit, with their comments, notification of any relevant patent rights of which they are aware and to provide supporting documentation.</w:t>
      </w:r>
    </w:p>
    <w:p w14:paraId="49D27612" w14:textId="77777777" w:rsidR="00A32DEB" w:rsidRPr="006E6414" w:rsidRDefault="00A32DEB" w:rsidP="00A32DEB">
      <w:pPr>
        <w:pStyle w:val="CenteredHeading"/>
        <w:outlineLvl w:val="0"/>
      </w:pPr>
      <w:r w:rsidRPr="006E6414">
        <w:lastRenderedPageBreak/>
        <w:t>DOCUMENT CONTROL</w:t>
      </w:r>
    </w:p>
    <w:p w14:paraId="2A08655C" w14:textId="77777777" w:rsidR="00A32DEB" w:rsidRPr="006E6414" w:rsidRDefault="00A32DEB" w:rsidP="00A32DEB"/>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A32DEB" w:rsidRPr="006E6414" w14:paraId="717309F1" w14:textId="77777777" w:rsidTr="001502B3">
        <w:trPr>
          <w:cantSplit/>
        </w:trPr>
        <w:tc>
          <w:tcPr>
            <w:tcW w:w="1435" w:type="dxa"/>
          </w:tcPr>
          <w:p w14:paraId="1F254594" w14:textId="77777777" w:rsidR="00A32DEB" w:rsidRPr="006E6414" w:rsidRDefault="00A32DEB" w:rsidP="001502B3">
            <w:pPr>
              <w:rPr>
                <w:b/>
              </w:rPr>
            </w:pPr>
            <w:r w:rsidRPr="006E6414">
              <w:rPr>
                <w:b/>
              </w:rPr>
              <w:t>Document</w:t>
            </w:r>
          </w:p>
        </w:tc>
        <w:tc>
          <w:tcPr>
            <w:tcW w:w="3780" w:type="dxa"/>
          </w:tcPr>
          <w:p w14:paraId="73EAF95B" w14:textId="77777777" w:rsidR="00A32DEB" w:rsidRPr="006E6414" w:rsidRDefault="00A32DEB" w:rsidP="001502B3">
            <w:pPr>
              <w:rPr>
                <w:b/>
              </w:rPr>
            </w:pPr>
            <w:r w:rsidRPr="006E6414">
              <w:rPr>
                <w:b/>
              </w:rPr>
              <w:t>Title</w:t>
            </w:r>
          </w:p>
        </w:tc>
        <w:tc>
          <w:tcPr>
            <w:tcW w:w="1350" w:type="dxa"/>
          </w:tcPr>
          <w:p w14:paraId="186D19E9" w14:textId="77777777" w:rsidR="00A32DEB" w:rsidRPr="006E6414" w:rsidRDefault="00A32DEB" w:rsidP="001502B3">
            <w:pPr>
              <w:rPr>
                <w:b/>
              </w:rPr>
            </w:pPr>
            <w:r w:rsidRPr="006E6414">
              <w:rPr>
                <w:b/>
              </w:rPr>
              <w:t>Date</w:t>
            </w:r>
          </w:p>
        </w:tc>
        <w:tc>
          <w:tcPr>
            <w:tcW w:w="2700" w:type="dxa"/>
          </w:tcPr>
          <w:p w14:paraId="2C87D13E" w14:textId="77777777" w:rsidR="00A32DEB" w:rsidRPr="006E6414" w:rsidRDefault="00A32DEB" w:rsidP="001502B3">
            <w:pPr>
              <w:rPr>
                <w:b/>
              </w:rPr>
            </w:pPr>
            <w:r w:rsidRPr="006E6414">
              <w:rPr>
                <w:b/>
              </w:rPr>
              <w:t>Status</w:t>
            </w:r>
          </w:p>
        </w:tc>
      </w:tr>
      <w:tr w:rsidR="00A32DEB" w:rsidRPr="006E6414" w14:paraId="539F844F" w14:textId="77777777" w:rsidTr="001502B3">
        <w:trPr>
          <w:cantSplit/>
        </w:trPr>
        <w:tc>
          <w:tcPr>
            <w:tcW w:w="1435" w:type="dxa"/>
          </w:tcPr>
          <w:p w14:paraId="65515B42" w14:textId="77777777" w:rsidR="00A32DEB" w:rsidRPr="006E6414" w:rsidRDefault="00326C41" w:rsidP="001502B3">
            <w:fldSimple w:instr=" DOCPROPERTY  &quot;Document number&quot;  \* MERGEFORMAT ">
              <w:r w:rsidR="000969EC">
                <w:t>CCSDS 734.5-R-1</w:t>
              </w:r>
            </w:fldSimple>
          </w:p>
        </w:tc>
        <w:tc>
          <w:tcPr>
            <w:tcW w:w="3780" w:type="dxa"/>
          </w:tcPr>
          <w:p w14:paraId="7D26E4CA" w14:textId="77777777" w:rsidR="00A32DEB" w:rsidRPr="006E6414" w:rsidRDefault="00326C41" w:rsidP="001502B3">
            <w:fldSimple w:instr=" DOCPROPERTY  Title  \* MERGEFORMAT ">
              <w:r w:rsidR="000969EC">
                <w:t>CCSDS Streamlined Bundle Security Protocol Specification</w:t>
              </w:r>
            </w:fldSimple>
            <w:r w:rsidR="00A32DEB" w:rsidRPr="006E6414">
              <w:t xml:space="preserve">, </w:t>
            </w:r>
            <w:fldSimple w:instr=" DOCPROPERTY  &quot;Document Type&quot;  \* MERGEFORMAT ">
              <w:r w:rsidR="000969EC">
                <w:t>Draft Recommended Standard</w:t>
              </w:r>
            </w:fldSimple>
            <w:r w:rsidR="00A32DEB" w:rsidRPr="006E6414">
              <w:t xml:space="preserve">, </w:t>
            </w:r>
            <w:fldSimple w:instr=" DOCPROPERTY  Issue  \* MERGEFORMAT ">
              <w:r w:rsidR="000969EC">
                <w:t>Issue 1</w:t>
              </w:r>
            </w:fldSimple>
          </w:p>
        </w:tc>
        <w:tc>
          <w:tcPr>
            <w:tcW w:w="1350" w:type="dxa"/>
          </w:tcPr>
          <w:p w14:paraId="58241636" w14:textId="77777777" w:rsidR="00A32DEB" w:rsidRPr="006E6414" w:rsidRDefault="00326C41" w:rsidP="001502B3">
            <w:fldSimple w:instr=" DOCPROPERTY  &quot;Issue Date&quot;  \* MERGEFORMAT ">
              <w:r w:rsidR="000969EC">
                <w:t>March 2018</w:t>
              </w:r>
            </w:fldSimple>
          </w:p>
        </w:tc>
        <w:tc>
          <w:tcPr>
            <w:tcW w:w="2700" w:type="dxa"/>
          </w:tcPr>
          <w:p w14:paraId="7B750721" w14:textId="77777777" w:rsidR="00A32DEB" w:rsidRPr="006E6414" w:rsidRDefault="00A32DEB" w:rsidP="001502B3">
            <w:r w:rsidRPr="006E6414">
              <w:t>Current draft</w:t>
            </w:r>
          </w:p>
        </w:tc>
      </w:tr>
      <w:tr w:rsidR="00A32DEB" w:rsidRPr="006E6414" w14:paraId="5B755A37" w14:textId="77777777" w:rsidTr="001502B3">
        <w:trPr>
          <w:cantSplit/>
        </w:trPr>
        <w:tc>
          <w:tcPr>
            <w:tcW w:w="1435" w:type="dxa"/>
          </w:tcPr>
          <w:p w14:paraId="29A3A657" w14:textId="77777777" w:rsidR="00A32DEB" w:rsidRPr="006E6414" w:rsidRDefault="00A32DEB" w:rsidP="001502B3"/>
        </w:tc>
        <w:tc>
          <w:tcPr>
            <w:tcW w:w="3780" w:type="dxa"/>
          </w:tcPr>
          <w:p w14:paraId="063110B4" w14:textId="77777777" w:rsidR="00A32DEB" w:rsidRPr="006E6414" w:rsidRDefault="00A32DEB" w:rsidP="001502B3"/>
        </w:tc>
        <w:tc>
          <w:tcPr>
            <w:tcW w:w="1350" w:type="dxa"/>
          </w:tcPr>
          <w:p w14:paraId="235A8C9A" w14:textId="77777777" w:rsidR="00A32DEB" w:rsidRPr="006E6414" w:rsidRDefault="00A32DEB" w:rsidP="001502B3"/>
        </w:tc>
        <w:tc>
          <w:tcPr>
            <w:tcW w:w="2700" w:type="dxa"/>
          </w:tcPr>
          <w:p w14:paraId="63D0C729" w14:textId="77777777" w:rsidR="00A32DEB" w:rsidRPr="006E6414" w:rsidRDefault="00A32DEB" w:rsidP="001502B3"/>
        </w:tc>
      </w:tr>
      <w:tr w:rsidR="00A32DEB" w:rsidRPr="006E6414" w14:paraId="3CC0C778" w14:textId="77777777" w:rsidTr="001502B3">
        <w:trPr>
          <w:cantSplit/>
        </w:trPr>
        <w:tc>
          <w:tcPr>
            <w:tcW w:w="1435" w:type="dxa"/>
          </w:tcPr>
          <w:p w14:paraId="4012E684" w14:textId="77777777" w:rsidR="00A32DEB" w:rsidRPr="006E6414" w:rsidRDefault="00A32DEB" w:rsidP="001502B3"/>
        </w:tc>
        <w:tc>
          <w:tcPr>
            <w:tcW w:w="3780" w:type="dxa"/>
          </w:tcPr>
          <w:p w14:paraId="30223D6E" w14:textId="77777777" w:rsidR="00A32DEB" w:rsidRPr="006E6414" w:rsidRDefault="00A32DEB" w:rsidP="001502B3"/>
        </w:tc>
        <w:tc>
          <w:tcPr>
            <w:tcW w:w="1350" w:type="dxa"/>
          </w:tcPr>
          <w:p w14:paraId="2C9B78E2" w14:textId="77777777" w:rsidR="00A32DEB" w:rsidRPr="006E6414" w:rsidRDefault="00A32DEB" w:rsidP="001502B3"/>
        </w:tc>
        <w:tc>
          <w:tcPr>
            <w:tcW w:w="2700" w:type="dxa"/>
          </w:tcPr>
          <w:p w14:paraId="63793A5C" w14:textId="77777777" w:rsidR="00A32DEB" w:rsidRPr="006E6414" w:rsidRDefault="00A32DEB" w:rsidP="001502B3"/>
        </w:tc>
      </w:tr>
    </w:tbl>
    <w:p w14:paraId="4AB11D96" w14:textId="77777777" w:rsidR="00A32DEB" w:rsidRPr="006E6414" w:rsidRDefault="00A32DEB" w:rsidP="00A32DEB"/>
    <w:p w14:paraId="07C8D8EA" w14:textId="77777777" w:rsidR="00A32DEB" w:rsidRPr="006E6414" w:rsidRDefault="00A32DEB" w:rsidP="00A32DEB"/>
    <w:p w14:paraId="3F363F2E" w14:textId="77777777" w:rsidR="00A32DEB" w:rsidRPr="006E6414" w:rsidRDefault="00A32DEB" w:rsidP="00A32DEB">
      <w:pPr>
        <w:pStyle w:val="CenteredHeading"/>
        <w:outlineLvl w:val="0"/>
      </w:pPr>
      <w:r w:rsidRPr="006E6414">
        <w:lastRenderedPageBreak/>
        <w:t>CONTENTS</w:t>
      </w:r>
    </w:p>
    <w:p w14:paraId="1F22AE11" w14:textId="77777777" w:rsidR="00A32DEB" w:rsidRPr="006E6414" w:rsidRDefault="00A32DEB" w:rsidP="00A32DEB">
      <w:pPr>
        <w:pStyle w:val="toccolumnheadings"/>
      </w:pPr>
      <w:r w:rsidRPr="006E6414">
        <w:t>Section</w:t>
      </w:r>
      <w:r w:rsidRPr="006E6414">
        <w:tab/>
        <w:t>Page</w:t>
      </w:r>
    </w:p>
    <w:p w14:paraId="266B4E99" w14:textId="67FC33DF" w:rsidR="00713AF0" w:rsidRDefault="001502B3">
      <w:pPr>
        <w:pStyle w:val="TOC1"/>
        <w:rPr>
          <w:rFonts w:asciiTheme="minorHAnsi" w:eastAsiaTheme="minorEastAsia" w:hAnsiTheme="minorHAnsi" w:cstheme="minorBidi"/>
          <w:b w:val="0"/>
          <w:caps w:val="0"/>
          <w:noProof/>
          <w:sz w:val="22"/>
          <w:szCs w:val="22"/>
        </w:rPr>
      </w:pPr>
      <w:r>
        <w:fldChar w:fldCharType="begin"/>
      </w:r>
      <w:r>
        <w:instrText xml:space="preserve"> TOC \o "1-2" \h \* MERGEFORMAT </w:instrText>
      </w:r>
      <w:r>
        <w:fldChar w:fldCharType="separate"/>
      </w:r>
      <w:hyperlink w:anchor="_Toc39246834" w:history="1">
        <w:r w:rsidR="00713AF0" w:rsidRPr="00AC6B54">
          <w:rPr>
            <w:rStyle w:val="Hyperlink"/>
            <w:noProof/>
          </w:rPr>
          <w:t>1</w:t>
        </w:r>
        <w:r w:rsidR="00713AF0">
          <w:rPr>
            <w:rFonts w:asciiTheme="minorHAnsi" w:eastAsiaTheme="minorEastAsia" w:hAnsiTheme="minorHAnsi" w:cstheme="minorBidi"/>
            <w:b w:val="0"/>
            <w:caps w:val="0"/>
            <w:noProof/>
            <w:sz w:val="22"/>
            <w:szCs w:val="22"/>
          </w:rPr>
          <w:tab/>
        </w:r>
        <w:r w:rsidR="00713AF0" w:rsidRPr="00AC6B54">
          <w:rPr>
            <w:rStyle w:val="Hyperlink"/>
            <w:noProof/>
          </w:rPr>
          <w:t>Introduction</w:t>
        </w:r>
        <w:r w:rsidR="00713AF0">
          <w:rPr>
            <w:noProof/>
          </w:rPr>
          <w:tab/>
        </w:r>
        <w:r w:rsidR="00713AF0">
          <w:rPr>
            <w:noProof/>
          </w:rPr>
          <w:fldChar w:fldCharType="begin"/>
        </w:r>
        <w:r w:rsidR="00713AF0">
          <w:rPr>
            <w:noProof/>
          </w:rPr>
          <w:instrText xml:space="preserve"> PAGEREF _Toc39246834 \h </w:instrText>
        </w:r>
        <w:r w:rsidR="00713AF0">
          <w:rPr>
            <w:noProof/>
          </w:rPr>
        </w:r>
        <w:r w:rsidR="00713AF0">
          <w:rPr>
            <w:noProof/>
          </w:rPr>
          <w:fldChar w:fldCharType="separate"/>
        </w:r>
        <w:r w:rsidR="00713AF0">
          <w:rPr>
            <w:noProof/>
          </w:rPr>
          <w:t>1-1</w:t>
        </w:r>
        <w:r w:rsidR="00713AF0">
          <w:rPr>
            <w:noProof/>
          </w:rPr>
          <w:fldChar w:fldCharType="end"/>
        </w:r>
      </w:hyperlink>
    </w:p>
    <w:p w14:paraId="7DB318EC" w14:textId="3567424D" w:rsidR="00713AF0" w:rsidRDefault="00713AF0">
      <w:pPr>
        <w:pStyle w:val="TOC2"/>
        <w:tabs>
          <w:tab w:val="left" w:pos="907"/>
        </w:tabs>
        <w:rPr>
          <w:rFonts w:asciiTheme="minorHAnsi" w:eastAsiaTheme="minorEastAsia" w:hAnsiTheme="minorHAnsi" w:cstheme="minorBidi"/>
          <w:caps w:val="0"/>
          <w:noProof/>
          <w:sz w:val="22"/>
          <w:szCs w:val="22"/>
        </w:rPr>
      </w:pPr>
      <w:hyperlink w:anchor="_Toc39246835" w:history="1">
        <w:r w:rsidRPr="00AC6B54">
          <w:rPr>
            <w:rStyle w:val="Hyperlink"/>
            <w:noProof/>
          </w:rPr>
          <w:t>1.1</w:t>
        </w:r>
        <w:r>
          <w:rPr>
            <w:rFonts w:asciiTheme="minorHAnsi" w:eastAsiaTheme="minorEastAsia" w:hAnsiTheme="minorHAnsi" w:cstheme="minorBidi"/>
            <w:caps w:val="0"/>
            <w:noProof/>
            <w:sz w:val="22"/>
            <w:szCs w:val="22"/>
          </w:rPr>
          <w:tab/>
        </w:r>
        <w:r w:rsidRPr="00AC6B54">
          <w:rPr>
            <w:rStyle w:val="Hyperlink"/>
            <w:noProof/>
          </w:rPr>
          <w:t>PURPOSE</w:t>
        </w:r>
        <w:r>
          <w:rPr>
            <w:noProof/>
          </w:rPr>
          <w:tab/>
        </w:r>
        <w:r>
          <w:rPr>
            <w:noProof/>
          </w:rPr>
          <w:fldChar w:fldCharType="begin"/>
        </w:r>
        <w:r>
          <w:rPr>
            <w:noProof/>
          </w:rPr>
          <w:instrText xml:space="preserve"> PAGEREF _Toc39246835 \h </w:instrText>
        </w:r>
        <w:r>
          <w:rPr>
            <w:noProof/>
          </w:rPr>
        </w:r>
        <w:r>
          <w:rPr>
            <w:noProof/>
          </w:rPr>
          <w:fldChar w:fldCharType="separate"/>
        </w:r>
        <w:r>
          <w:rPr>
            <w:noProof/>
          </w:rPr>
          <w:t>1-1</w:t>
        </w:r>
        <w:r>
          <w:rPr>
            <w:noProof/>
          </w:rPr>
          <w:fldChar w:fldCharType="end"/>
        </w:r>
      </w:hyperlink>
    </w:p>
    <w:p w14:paraId="5AD011AA" w14:textId="7845CE28" w:rsidR="00713AF0" w:rsidRDefault="00713AF0">
      <w:pPr>
        <w:pStyle w:val="TOC2"/>
        <w:tabs>
          <w:tab w:val="left" w:pos="907"/>
        </w:tabs>
        <w:rPr>
          <w:rFonts w:asciiTheme="minorHAnsi" w:eastAsiaTheme="minorEastAsia" w:hAnsiTheme="minorHAnsi" w:cstheme="minorBidi"/>
          <w:caps w:val="0"/>
          <w:noProof/>
          <w:sz w:val="22"/>
          <w:szCs w:val="22"/>
        </w:rPr>
      </w:pPr>
      <w:hyperlink w:anchor="_Toc39246836" w:history="1">
        <w:r w:rsidRPr="00AC6B54">
          <w:rPr>
            <w:rStyle w:val="Hyperlink"/>
            <w:noProof/>
          </w:rPr>
          <w:t>1.2</w:t>
        </w:r>
        <w:r>
          <w:rPr>
            <w:rFonts w:asciiTheme="minorHAnsi" w:eastAsiaTheme="minorEastAsia" w:hAnsiTheme="minorHAnsi" w:cstheme="minorBidi"/>
            <w:caps w:val="0"/>
            <w:noProof/>
            <w:sz w:val="22"/>
            <w:szCs w:val="22"/>
          </w:rPr>
          <w:tab/>
        </w:r>
        <w:r w:rsidRPr="00AC6B54">
          <w:rPr>
            <w:rStyle w:val="Hyperlink"/>
            <w:noProof/>
          </w:rPr>
          <w:t>SCOPE</w:t>
        </w:r>
        <w:r>
          <w:rPr>
            <w:noProof/>
          </w:rPr>
          <w:tab/>
        </w:r>
        <w:r>
          <w:rPr>
            <w:noProof/>
          </w:rPr>
          <w:fldChar w:fldCharType="begin"/>
        </w:r>
        <w:r>
          <w:rPr>
            <w:noProof/>
          </w:rPr>
          <w:instrText xml:space="preserve"> PAGEREF _Toc39246836 \h </w:instrText>
        </w:r>
        <w:r>
          <w:rPr>
            <w:noProof/>
          </w:rPr>
        </w:r>
        <w:r>
          <w:rPr>
            <w:noProof/>
          </w:rPr>
          <w:fldChar w:fldCharType="separate"/>
        </w:r>
        <w:r>
          <w:rPr>
            <w:noProof/>
          </w:rPr>
          <w:t>1-1</w:t>
        </w:r>
        <w:r>
          <w:rPr>
            <w:noProof/>
          </w:rPr>
          <w:fldChar w:fldCharType="end"/>
        </w:r>
      </w:hyperlink>
    </w:p>
    <w:p w14:paraId="7B429161" w14:textId="36BFC685" w:rsidR="00713AF0" w:rsidRDefault="00713AF0">
      <w:pPr>
        <w:pStyle w:val="TOC2"/>
        <w:tabs>
          <w:tab w:val="left" w:pos="907"/>
        </w:tabs>
        <w:rPr>
          <w:rFonts w:asciiTheme="minorHAnsi" w:eastAsiaTheme="minorEastAsia" w:hAnsiTheme="minorHAnsi" w:cstheme="minorBidi"/>
          <w:caps w:val="0"/>
          <w:noProof/>
          <w:sz w:val="22"/>
          <w:szCs w:val="22"/>
        </w:rPr>
      </w:pPr>
      <w:hyperlink w:anchor="_Toc39246837" w:history="1">
        <w:r w:rsidRPr="00AC6B54">
          <w:rPr>
            <w:rStyle w:val="Hyperlink"/>
            <w:noProof/>
          </w:rPr>
          <w:t>1.3</w:t>
        </w:r>
        <w:r>
          <w:rPr>
            <w:rFonts w:asciiTheme="minorHAnsi" w:eastAsiaTheme="minorEastAsia" w:hAnsiTheme="minorHAnsi" w:cstheme="minorBidi"/>
            <w:caps w:val="0"/>
            <w:noProof/>
            <w:sz w:val="22"/>
            <w:szCs w:val="22"/>
          </w:rPr>
          <w:tab/>
        </w:r>
        <w:r w:rsidRPr="00AC6B54">
          <w:rPr>
            <w:rStyle w:val="Hyperlink"/>
            <w:noProof/>
          </w:rPr>
          <w:t>Applicability</w:t>
        </w:r>
        <w:r>
          <w:rPr>
            <w:noProof/>
          </w:rPr>
          <w:tab/>
        </w:r>
        <w:r>
          <w:rPr>
            <w:noProof/>
          </w:rPr>
          <w:fldChar w:fldCharType="begin"/>
        </w:r>
        <w:r>
          <w:rPr>
            <w:noProof/>
          </w:rPr>
          <w:instrText xml:space="preserve"> PAGEREF _Toc39246837 \h </w:instrText>
        </w:r>
        <w:r>
          <w:rPr>
            <w:noProof/>
          </w:rPr>
        </w:r>
        <w:r>
          <w:rPr>
            <w:noProof/>
          </w:rPr>
          <w:fldChar w:fldCharType="separate"/>
        </w:r>
        <w:r>
          <w:rPr>
            <w:noProof/>
          </w:rPr>
          <w:t>1-1</w:t>
        </w:r>
        <w:r>
          <w:rPr>
            <w:noProof/>
          </w:rPr>
          <w:fldChar w:fldCharType="end"/>
        </w:r>
      </w:hyperlink>
    </w:p>
    <w:p w14:paraId="43D02249" w14:textId="0CA7ED25" w:rsidR="00713AF0" w:rsidRDefault="00713AF0">
      <w:pPr>
        <w:pStyle w:val="TOC2"/>
        <w:tabs>
          <w:tab w:val="left" w:pos="907"/>
        </w:tabs>
        <w:rPr>
          <w:rFonts w:asciiTheme="minorHAnsi" w:eastAsiaTheme="minorEastAsia" w:hAnsiTheme="minorHAnsi" w:cstheme="minorBidi"/>
          <w:caps w:val="0"/>
          <w:noProof/>
          <w:sz w:val="22"/>
          <w:szCs w:val="22"/>
        </w:rPr>
      </w:pPr>
      <w:hyperlink w:anchor="_Toc39246838" w:history="1">
        <w:r w:rsidRPr="00AC6B54">
          <w:rPr>
            <w:rStyle w:val="Hyperlink"/>
            <w:noProof/>
          </w:rPr>
          <w:t>1.4</w:t>
        </w:r>
        <w:r>
          <w:rPr>
            <w:rFonts w:asciiTheme="minorHAnsi" w:eastAsiaTheme="minorEastAsia" w:hAnsiTheme="minorHAnsi" w:cstheme="minorBidi"/>
            <w:caps w:val="0"/>
            <w:noProof/>
            <w:sz w:val="22"/>
            <w:szCs w:val="22"/>
          </w:rPr>
          <w:tab/>
        </w:r>
        <w:r w:rsidRPr="00AC6B54">
          <w:rPr>
            <w:rStyle w:val="Hyperlink"/>
            <w:noProof/>
          </w:rPr>
          <w:t>Rationale</w:t>
        </w:r>
        <w:r>
          <w:rPr>
            <w:noProof/>
          </w:rPr>
          <w:tab/>
        </w:r>
        <w:r>
          <w:rPr>
            <w:noProof/>
          </w:rPr>
          <w:fldChar w:fldCharType="begin"/>
        </w:r>
        <w:r>
          <w:rPr>
            <w:noProof/>
          </w:rPr>
          <w:instrText xml:space="preserve"> PAGEREF _Toc39246838 \h </w:instrText>
        </w:r>
        <w:r>
          <w:rPr>
            <w:noProof/>
          </w:rPr>
        </w:r>
        <w:r>
          <w:rPr>
            <w:noProof/>
          </w:rPr>
          <w:fldChar w:fldCharType="separate"/>
        </w:r>
        <w:r>
          <w:rPr>
            <w:noProof/>
          </w:rPr>
          <w:t>1-2</w:t>
        </w:r>
        <w:r>
          <w:rPr>
            <w:noProof/>
          </w:rPr>
          <w:fldChar w:fldCharType="end"/>
        </w:r>
      </w:hyperlink>
    </w:p>
    <w:p w14:paraId="22C021AA" w14:textId="6BAA0482" w:rsidR="00713AF0" w:rsidRDefault="00713AF0">
      <w:pPr>
        <w:pStyle w:val="TOC2"/>
        <w:tabs>
          <w:tab w:val="left" w:pos="907"/>
        </w:tabs>
        <w:rPr>
          <w:rFonts w:asciiTheme="minorHAnsi" w:eastAsiaTheme="minorEastAsia" w:hAnsiTheme="minorHAnsi" w:cstheme="minorBidi"/>
          <w:caps w:val="0"/>
          <w:noProof/>
          <w:sz w:val="22"/>
          <w:szCs w:val="22"/>
        </w:rPr>
      </w:pPr>
      <w:hyperlink w:anchor="_Toc39246839" w:history="1">
        <w:r w:rsidRPr="00AC6B54">
          <w:rPr>
            <w:rStyle w:val="Hyperlink"/>
            <w:noProof/>
          </w:rPr>
          <w:t>1.5</w:t>
        </w:r>
        <w:r>
          <w:rPr>
            <w:rFonts w:asciiTheme="minorHAnsi" w:eastAsiaTheme="minorEastAsia" w:hAnsiTheme="minorHAnsi" w:cstheme="minorBidi"/>
            <w:caps w:val="0"/>
            <w:noProof/>
            <w:sz w:val="22"/>
            <w:szCs w:val="22"/>
          </w:rPr>
          <w:tab/>
        </w:r>
        <w:r w:rsidRPr="00AC6B54">
          <w:rPr>
            <w:rStyle w:val="Hyperlink"/>
            <w:noProof/>
          </w:rPr>
          <w:t>ORGANIZATION OF THIS RECOMMENDED STANDARD</w:t>
        </w:r>
        <w:r>
          <w:rPr>
            <w:noProof/>
          </w:rPr>
          <w:tab/>
        </w:r>
        <w:r>
          <w:rPr>
            <w:noProof/>
          </w:rPr>
          <w:fldChar w:fldCharType="begin"/>
        </w:r>
        <w:r>
          <w:rPr>
            <w:noProof/>
          </w:rPr>
          <w:instrText xml:space="preserve"> PAGEREF _Toc39246839 \h </w:instrText>
        </w:r>
        <w:r>
          <w:rPr>
            <w:noProof/>
          </w:rPr>
        </w:r>
        <w:r>
          <w:rPr>
            <w:noProof/>
          </w:rPr>
          <w:fldChar w:fldCharType="separate"/>
        </w:r>
        <w:r>
          <w:rPr>
            <w:noProof/>
          </w:rPr>
          <w:t>1-2</w:t>
        </w:r>
        <w:r>
          <w:rPr>
            <w:noProof/>
          </w:rPr>
          <w:fldChar w:fldCharType="end"/>
        </w:r>
      </w:hyperlink>
    </w:p>
    <w:p w14:paraId="3FD833C0" w14:textId="4CB4DC06" w:rsidR="00713AF0" w:rsidRDefault="00713AF0">
      <w:pPr>
        <w:pStyle w:val="TOC2"/>
        <w:tabs>
          <w:tab w:val="left" w:pos="907"/>
        </w:tabs>
        <w:rPr>
          <w:rFonts w:asciiTheme="minorHAnsi" w:eastAsiaTheme="minorEastAsia" w:hAnsiTheme="minorHAnsi" w:cstheme="minorBidi"/>
          <w:caps w:val="0"/>
          <w:noProof/>
          <w:sz w:val="22"/>
          <w:szCs w:val="22"/>
        </w:rPr>
      </w:pPr>
      <w:hyperlink w:anchor="_Toc39246840" w:history="1">
        <w:r w:rsidRPr="00AC6B54">
          <w:rPr>
            <w:rStyle w:val="Hyperlink"/>
            <w:noProof/>
          </w:rPr>
          <w:t>1.6</w:t>
        </w:r>
        <w:r>
          <w:rPr>
            <w:rFonts w:asciiTheme="minorHAnsi" w:eastAsiaTheme="minorEastAsia" w:hAnsiTheme="minorHAnsi" w:cstheme="minorBidi"/>
            <w:caps w:val="0"/>
            <w:noProof/>
            <w:sz w:val="22"/>
            <w:szCs w:val="22"/>
          </w:rPr>
          <w:tab/>
        </w:r>
        <w:r w:rsidRPr="00AC6B54">
          <w:rPr>
            <w:rStyle w:val="Hyperlink"/>
            <w:noProof/>
          </w:rPr>
          <w:t>Definitions</w:t>
        </w:r>
        <w:r>
          <w:rPr>
            <w:noProof/>
          </w:rPr>
          <w:tab/>
        </w:r>
        <w:r>
          <w:rPr>
            <w:noProof/>
          </w:rPr>
          <w:fldChar w:fldCharType="begin"/>
        </w:r>
        <w:r>
          <w:rPr>
            <w:noProof/>
          </w:rPr>
          <w:instrText xml:space="preserve"> PAGEREF _Toc39246840 \h </w:instrText>
        </w:r>
        <w:r>
          <w:rPr>
            <w:noProof/>
          </w:rPr>
        </w:r>
        <w:r>
          <w:rPr>
            <w:noProof/>
          </w:rPr>
          <w:fldChar w:fldCharType="separate"/>
        </w:r>
        <w:r>
          <w:rPr>
            <w:noProof/>
          </w:rPr>
          <w:t>1-3</w:t>
        </w:r>
        <w:r>
          <w:rPr>
            <w:noProof/>
          </w:rPr>
          <w:fldChar w:fldCharType="end"/>
        </w:r>
      </w:hyperlink>
    </w:p>
    <w:p w14:paraId="6446210B" w14:textId="10BFB5D1" w:rsidR="00713AF0" w:rsidRDefault="00713AF0">
      <w:pPr>
        <w:pStyle w:val="TOC2"/>
        <w:tabs>
          <w:tab w:val="left" w:pos="907"/>
        </w:tabs>
        <w:rPr>
          <w:rFonts w:asciiTheme="minorHAnsi" w:eastAsiaTheme="minorEastAsia" w:hAnsiTheme="minorHAnsi" w:cstheme="minorBidi"/>
          <w:caps w:val="0"/>
          <w:noProof/>
          <w:sz w:val="22"/>
          <w:szCs w:val="22"/>
        </w:rPr>
      </w:pPr>
      <w:hyperlink w:anchor="_Toc39246841" w:history="1">
        <w:r w:rsidRPr="00AC6B54">
          <w:rPr>
            <w:rStyle w:val="Hyperlink"/>
            <w:noProof/>
          </w:rPr>
          <w:t>1.7</w:t>
        </w:r>
        <w:r>
          <w:rPr>
            <w:rFonts w:asciiTheme="minorHAnsi" w:eastAsiaTheme="minorEastAsia" w:hAnsiTheme="minorHAnsi" w:cstheme="minorBidi"/>
            <w:caps w:val="0"/>
            <w:noProof/>
            <w:sz w:val="22"/>
            <w:szCs w:val="22"/>
          </w:rPr>
          <w:tab/>
        </w:r>
        <w:r w:rsidRPr="00AC6B54">
          <w:rPr>
            <w:rStyle w:val="Hyperlink"/>
            <w:noProof/>
          </w:rPr>
          <w:t>NOMENCLATURE</w:t>
        </w:r>
        <w:r>
          <w:rPr>
            <w:noProof/>
          </w:rPr>
          <w:tab/>
        </w:r>
        <w:r>
          <w:rPr>
            <w:noProof/>
          </w:rPr>
          <w:fldChar w:fldCharType="begin"/>
        </w:r>
        <w:r>
          <w:rPr>
            <w:noProof/>
          </w:rPr>
          <w:instrText xml:space="preserve"> PAGEREF _Toc39246841 \h </w:instrText>
        </w:r>
        <w:r>
          <w:rPr>
            <w:noProof/>
          </w:rPr>
        </w:r>
        <w:r>
          <w:rPr>
            <w:noProof/>
          </w:rPr>
          <w:fldChar w:fldCharType="separate"/>
        </w:r>
        <w:r>
          <w:rPr>
            <w:noProof/>
          </w:rPr>
          <w:t>1-4</w:t>
        </w:r>
        <w:r>
          <w:rPr>
            <w:noProof/>
          </w:rPr>
          <w:fldChar w:fldCharType="end"/>
        </w:r>
      </w:hyperlink>
    </w:p>
    <w:p w14:paraId="716E8A18" w14:textId="2DC1D238" w:rsidR="00713AF0" w:rsidRDefault="00713AF0">
      <w:pPr>
        <w:pStyle w:val="TOC2"/>
        <w:tabs>
          <w:tab w:val="left" w:pos="907"/>
        </w:tabs>
        <w:rPr>
          <w:rFonts w:asciiTheme="minorHAnsi" w:eastAsiaTheme="minorEastAsia" w:hAnsiTheme="minorHAnsi" w:cstheme="minorBidi"/>
          <w:caps w:val="0"/>
          <w:noProof/>
          <w:sz w:val="22"/>
          <w:szCs w:val="22"/>
        </w:rPr>
      </w:pPr>
      <w:hyperlink w:anchor="_Toc39246842" w:history="1">
        <w:r w:rsidRPr="00AC6B54">
          <w:rPr>
            <w:rStyle w:val="Hyperlink"/>
            <w:noProof/>
          </w:rPr>
          <w:t>1.8</w:t>
        </w:r>
        <w:r>
          <w:rPr>
            <w:rFonts w:asciiTheme="minorHAnsi" w:eastAsiaTheme="minorEastAsia" w:hAnsiTheme="minorHAnsi" w:cstheme="minorBidi"/>
            <w:caps w:val="0"/>
            <w:noProof/>
            <w:sz w:val="22"/>
            <w:szCs w:val="22"/>
          </w:rPr>
          <w:tab/>
        </w:r>
        <w:r w:rsidRPr="00AC6B54">
          <w:rPr>
            <w:rStyle w:val="Hyperlink"/>
            <w:noProof/>
          </w:rPr>
          <w:t>References</w:t>
        </w:r>
        <w:r>
          <w:rPr>
            <w:noProof/>
          </w:rPr>
          <w:tab/>
        </w:r>
        <w:r>
          <w:rPr>
            <w:noProof/>
          </w:rPr>
          <w:fldChar w:fldCharType="begin"/>
        </w:r>
        <w:r>
          <w:rPr>
            <w:noProof/>
          </w:rPr>
          <w:instrText xml:space="preserve"> PAGEREF _Toc39246842 \h </w:instrText>
        </w:r>
        <w:r>
          <w:rPr>
            <w:noProof/>
          </w:rPr>
        </w:r>
        <w:r>
          <w:rPr>
            <w:noProof/>
          </w:rPr>
          <w:fldChar w:fldCharType="separate"/>
        </w:r>
        <w:r>
          <w:rPr>
            <w:noProof/>
          </w:rPr>
          <w:t>1-5</w:t>
        </w:r>
        <w:r>
          <w:rPr>
            <w:noProof/>
          </w:rPr>
          <w:fldChar w:fldCharType="end"/>
        </w:r>
      </w:hyperlink>
    </w:p>
    <w:p w14:paraId="38B4B886" w14:textId="39835C91" w:rsidR="00713AF0" w:rsidRDefault="00713AF0">
      <w:pPr>
        <w:pStyle w:val="TOC1"/>
        <w:rPr>
          <w:rFonts w:asciiTheme="minorHAnsi" w:eastAsiaTheme="minorEastAsia" w:hAnsiTheme="minorHAnsi" w:cstheme="minorBidi"/>
          <w:b w:val="0"/>
          <w:caps w:val="0"/>
          <w:noProof/>
          <w:sz w:val="22"/>
          <w:szCs w:val="22"/>
        </w:rPr>
      </w:pPr>
      <w:hyperlink w:anchor="_Toc39246843" w:history="1">
        <w:r w:rsidRPr="00AC6B54">
          <w:rPr>
            <w:rStyle w:val="Hyperlink"/>
            <w:noProof/>
          </w:rPr>
          <w:t>2</w:t>
        </w:r>
        <w:r>
          <w:rPr>
            <w:rFonts w:asciiTheme="minorHAnsi" w:eastAsiaTheme="minorEastAsia" w:hAnsiTheme="minorHAnsi" w:cstheme="minorBidi"/>
            <w:b w:val="0"/>
            <w:caps w:val="0"/>
            <w:noProof/>
            <w:sz w:val="22"/>
            <w:szCs w:val="22"/>
          </w:rPr>
          <w:tab/>
        </w:r>
        <w:r w:rsidRPr="00AC6B54">
          <w:rPr>
            <w:rStyle w:val="Hyperlink"/>
            <w:noProof/>
          </w:rPr>
          <w:t>Overview</w:t>
        </w:r>
        <w:r>
          <w:rPr>
            <w:noProof/>
          </w:rPr>
          <w:tab/>
        </w:r>
        <w:r>
          <w:rPr>
            <w:noProof/>
          </w:rPr>
          <w:fldChar w:fldCharType="begin"/>
        </w:r>
        <w:r>
          <w:rPr>
            <w:noProof/>
          </w:rPr>
          <w:instrText xml:space="preserve"> PAGEREF _Toc39246843 \h </w:instrText>
        </w:r>
        <w:r>
          <w:rPr>
            <w:noProof/>
          </w:rPr>
        </w:r>
        <w:r>
          <w:rPr>
            <w:noProof/>
          </w:rPr>
          <w:fldChar w:fldCharType="separate"/>
        </w:r>
        <w:r>
          <w:rPr>
            <w:noProof/>
          </w:rPr>
          <w:t>2-1</w:t>
        </w:r>
        <w:r>
          <w:rPr>
            <w:noProof/>
          </w:rPr>
          <w:fldChar w:fldCharType="end"/>
        </w:r>
      </w:hyperlink>
    </w:p>
    <w:p w14:paraId="0817C5A0" w14:textId="1940F219" w:rsidR="00713AF0" w:rsidRDefault="00713AF0">
      <w:pPr>
        <w:pStyle w:val="TOC2"/>
        <w:tabs>
          <w:tab w:val="left" w:pos="907"/>
        </w:tabs>
        <w:rPr>
          <w:rFonts w:asciiTheme="minorHAnsi" w:eastAsiaTheme="minorEastAsia" w:hAnsiTheme="minorHAnsi" w:cstheme="minorBidi"/>
          <w:caps w:val="0"/>
          <w:noProof/>
          <w:sz w:val="22"/>
          <w:szCs w:val="22"/>
        </w:rPr>
      </w:pPr>
      <w:hyperlink w:anchor="_Toc39246844" w:history="1">
        <w:r w:rsidRPr="00AC6B54">
          <w:rPr>
            <w:rStyle w:val="Hyperlink"/>
            <w:noProof/>
          </w:rPr>
          <w:t>2.1</w:t>
        </w:r>
        <w:r>
          <w:rPr>
            <w:rFonts w:asciiTheme="minorHAnsi" w:eastAsiaTheme="minorEastAsia" w:hAnsiTheme="minorHAnsi" w:cstheme="minorBidi"/>
            <w:caps w:val="0"/>
            <w:noProof/>
            <w:sz w:val="22"/>
            <w:szCs w:val="22"/>
          </w:rPr>
          <w:tab/>
        </w:r>
        <w:r w:rsidRPr="00AC6B54">
          <w:rPr>
            <w:rStyle w:val="Hyperlink"/>
            <w:noProof/>
          </w:rPr>
          <w:t>Concept of the Streamlined Bundle Security Protocol</w:t>
        </w:r>
        <w:r>
          <w:rPr>
            <w:noProof/>
          </w:rPr>
          <w:tab/>
        </w:r>
        <w:r>
          <w:rPr>
            <w:noProof/>
          </w:rPr>
          <w:fldChar w:fldCharType="begin"/>
        </w:r>
        <w:r>
          <w:rPr>
            <w:noProof/>
          </w:rPr>
          <w:instrText xml:space="preserve"> PAGEREF _Toc39246844 \h </w:instrText>
        </w:r>
        <w:r>
          <w:rPr>
            <w:noProof/>
          </w:rPr>
        </w:r>
        <w:r>
          <w:rPr>
            <w:noProof/>
          </w:rPr>
          <w:fldChar w:fldCharType="separate"/>
        </w:r>
        <w:r>
          <w:rPr>
            <w:noProof/>
          </w:rPr>
          <w:t>2-1</w:t>
        </w:r>
        <w:r>
          <w:rPr>
            <w:noProof/>
          </w:rPr>
          <w:fldChar w:fldCharType="end"/>
        </w:r>
      </w:hyperlink>
    </w:p>
    <w:p w14:paraId="13052F8B" w14:textId="1170300F" w:rsidR="00713AF0" w:rsidRDefault="00713AF0">
      <w:pPr>
        <w:pStyle w:val="TOC2"/>
        <w:tabs>
          <w:tab w:val="left" w:pos="907"/>
        </w:tabs>
        <w:rPr>
          <w:rFonts w:asciiTheme="minorHAnsi" w:eastAsiaTheme="minorEastAsia" w:hAnsiTheme="minorHAnsi" w:cstheme="minorBidi"/>
          <w:caps w:val="0"/>
          <w:noProof/>
          <w:sz w:val="22"/>
          <w:szCs w:val="22"/>
        </w:rPr>
      </w:pPr>
      <w:hyperlink w:anchor="_Toc39246845" w:history="1">
        <w:r w:rsidRPr="00AC6B54">
          <w:rPr>
            <w:rStyle w:val="Hyperlink"/>
            <w:noProof/>
          </w:rPr>
          <w:t>2.2</w:t>
        </w:r>
        <w:r>
          <w:rPr>
            <w:rFonts w:asciiTheme="minorHAnsi" w:eastAsiaTheme="minorEastAsia" w:hAnsiTheme="minorHAnsi" w:cstheme="minorBidi"/>
            <w:caps w:val="0"/>
            <w:noProof/>
            <w:sz w:val="22"/>
            <w:szCs w:val="22"/>
          </w:rPr>
          <w:tab/>
        </w:r>
        <w:r w:rsidRPr="00AC6B54">
          <w:rPr>
            <w:rStyle w:val="Hyperlink"/>
            <w:noProof/>
          </w:rPr>
          <w:t>Features of the Streamlined Bundle Security protocol</w:t>
        </w:r>
        <w:r>
          <w:rPr>
            <w:noProof/>
          </w:rPr>
          <w:tab/>
        </w:r>
        <w:r>
          <w:rPr>
            <w:noProof/>
          </w:rPr>
          <w:fldChar w:fldCharType="begin"/>
        </w:r>
        <w:r>
          <w:rPr>
            <w:noProof/>
          </w:rPr>
          <w:instrText xml:space="preserve"> PAGEREF _Toc39246845 \h </w:instrText>
        </w:r>
        <w:r>
          <w:rPr>
            <w:noProof/>
          </w:rPr>
        </w:r>
        <w:r>
          <w:rPr>
            <w:noProof/>
          </w:rPr>
          <w:fldChar w:fldCharType="separate"/>
        </w:r>
        <w:r>
          <w:rPr>
            <w:noProof/>
          </w:rPr>
          <w:t>2-2</w:t>
        </w:r>
        <w:r>
          <w:rPr>
            <w:noProof/>
          </w:rPr>
          <w:fldChar w:fldCharType="end"/>
        </w:r>
      </w:hyperlink>
    </w:p>
    <w:p w14:paraId="48FDA59D" w14:textId="367F9F47" w:rsidR="00713AF0" w:rsidRDefault="00713AF0">
      <w:pPr>
        <w:pStyle w:val="TOC1"/>
        <w:rPr>
          <w:rFonts w:asciiTheme="minorHAnsi" w:eastAsiaTheme="minorEastAsia" w:hAnsiTheme="minorHAnsi" w:cstheme="minorBidi"/>
          <w:b w:val="0"/>
          <w:caps w:val="0"/>
          <w:noProof/>
          <w:sz w:val="22"/>
          <w:szCs w:val="22"/>
        </w:rPr>
      </w:pPr>
      <w:hyperlink w:anchor="_Toc39246846" w:history="1">
        <w:r w:rsidRPr="00AC6B54">
          <w:rPr>
            <w:rStyle w:val="Hyperlink"/>
            <w:noProof/>
          </w:rPr>
          <w:t>3</w:t>
        </w:r>
        <w:r>
          <w:rPr>
            <w:rFonts w:asciiTheme="minorHAnsi" w:eastAsiaTheme="minorEastAsia" w:hAnsiTheme="minorHAnsi" w:cstheme="minorBidi"/>
            <w:b w:val="0"/>
            <w:caps w:val="0"/>
            <w:noProof/>
            <w:sz w:val="22"/>
            <w:szCs w:val="22"/>
          </w:rPr>
          <w:tab/>
        </w:r>
        <w:r w:rsidRPr="00AC6B54">
          <w:rPr>
            <w:rStyle w:val="Hyperlink"/>
            <w:noProof/>
          </w:rPr>
          <w:t>Service Definition</w:t>
        </w:r>
        <w:r>
          <w:rPr>
            <w:noProof/>
          </w:rPr>
          <w:tab/>
        </w:r>
        <w:r>
          <w:rPr>
            <w:noProof/>
          </w:rPr>
          <w:fldChar w:fldCharType="begin"/>
        </w:r>
        <w:r>
          <w:rPr>
            <w:noProof/>
          </w:rPr>
          <w:instrText xml:space="preserve"> PAGEREF _Toc39246846 \h </w:instrText>
        </w:r>
        <w:r>
          <w:rPr>
            <w:noProof/>
          </w:rPr>
        </w:r>
        <w:r>
          <w:rPr>
            <w:noProof/>
          </w:rPr>
          <w:fldChar w:fldCharType="separate"/>
        </w:r>
        <w:r>
          <w:rPr>
            <w:noProof/>
          </w:rPr>
          <w:t>3-1</w:t>
        </w:r>
        <w:r>
          <w:rPr>
            <w:noProof/>
          </w:rPr>
          <w:fldChar w:fldCharType="end"/>
        </w:r>
      </w:hyperlink>
    </w:p>
    <w:p w14:paraId="45C741C4" w14:textId="4C3A1F90" w:rsidR="00713AF0" w:rsidRDefault="00713AF0">
      <w:pPr>
        <w:pStyle w:val="TOC2"/>
        <w:tabs>
          <w:tab w:val="left" w:pos="907"/>
        </w:tabs>
        <w:rPr>
          <w:rFonts w:asciiTheme="minorHAnsi" w:eastAsiaTheme="minorEastAsia" w:hAnsiTheme="minorHAnsi" w:cstheme="minorBidi"/>
          <w:caps w:val="0"/>
          <w:noProof/>
          <w:sz w:val="22"/>
          <w:szCs w:val="22"/>
        </w:rPr>
      </w:pPr>
      <w:hyperlink w:anchor="_Toc39246847" w:history="1">
        <w:r w:rsidRPr="00AC6B54">
          <w:rPr>
            <w:rStyle w:val="Hyperlink"/>
            <w:noProof/>
          </w:rPr>
          <w:t>3.1</w:t>
        </w:r>
        <w:r>
          <w:rPr>
            <w:rFonts w:asciiTheme="minorHAnsi" w:eastAsiaTheme="minorEastAsia" w:hAnsiTheme="minorHAnsi" w:cstheme="minorBidi"/>
            <w:caps w:val="0"/>
            <w:noProof/>
            <w:sz w:val="22"/>
            <w:szCs w:val="22"/>
          </w:rPr>
          <w:tab/>
        </w:r>
        <w:r w:rsidRPr="00AC6B54">
          <w:rPr>
            <w:rStyle w:val="Hyperlink"/>
            <w:noProof/>
          </w:rPr>
          <w:t>Overview</w:t>
        </w:r>
        <w:r>
          <w:rPr>
            <w:noProof/>
          </w:rPr>
          <w:tab/>
        </w:r>
        <w:r>
          <w:rPr>
            <w:noProof/>
          </w:rPr>
          <w:fldChar w:fldCharType="begin"/>
        </w:r>
        <w:r>
          <w:rPr>
            <w:noProof/>
          </w:rPr>
          <w:instrText xml:space="preserve"> PAGEREF _Toc39246847 \h </w:instrText>
        </w:r>
        <w:r>
          <w:rPr>
            <w:noProof/>
          </w:rPr>
        </w:r>
        <w:r>
          <w:rPr>
            <w:noProof/>
          </w:rPr>
          <w:fldChar w:fldCharType="separate"/>
        </w:r>
        <w:r>
          <w:rPr>
            <w:noProof/>
          </w:rPr>
          <w:t>3-1</w:t>
        </w:r>
        <w:r>
          <w:rPr>
            <w:noProof/>
          </w:rPr>
          <w:fldChar w:fldCharType="end"/>
        </w:r>
      </w:hyperlink>
    </w:p>
    <w:p w14:paraId="0832CBDB" w14:textId="3928DA19" w:rsidR="00713AF0" w:rsidRDefault="00713AF0">
      <w:pPr>
        <w:pStyle w:val="TOC2"/>
        <w:tabs>
          <w:tab w:val="left" w:pos="907"/>
        </w:tabs>
        <w:rPr>
          <w:rFonts w:asciiTheme="minorHAnsi" w:eastAsiaTheme="minorEastAsia" w:hAnsiTheme="minorHAnsi" w:cstheme="minorBidi"/>
          <w:caps w:val="0"/>
          <w:noProof/>
          <w:sz w:val="22"/>
          <w:szCs w:val="22"/>
        </w:rPr>
      </w:pPr>
      <w:hyperlink w:anchor="_Toc39246848" w:history="1">
        <w:r w:rsidRPr="00AC6B54">
          <w:rPr>
            <w:rStyle w:val="Hyperlink"/>
            <w:noProof/>
          </w:rPr>
          <w:t>3.2</w:t>
        </w:r>
        <w:r>
          <w:rPr>
            <w:rFonts w:asciiTheme="minorHAnsi" w:eastAsiaTheme="minorEastAsia" w:hAnsiTheme="minorHAnsi" w:cstheme="minorBidi"/>
            <w:caps w:val="0"/>
            <w:noProof/>
            <w:sz w:val="22"/>
            <w:szCs w:val="22"/>
          </w:rPr>
          <w:tab/>
        </w:r>
        <w:r w:rsidRPr="00AC6B54">
          <w:rPr>
            <w:rStyle w:val="Hyperlink"/>
            <w:noProof/>
          </w:rPr>
          <w:t>Functions at Security Sources</w:t>
        </w:r>
        <w:r>
          <w:rPr>
            <w:noProof/>
          </w:rPr>
          <w:tab/>
        </w:r>
        <w:r>
          <w:rPr>
            <w:noProof/>
          </w:rPr>
          <w:fldChar w:fldCharType="begin"/>
        </w:r>
        <w:r>
          <w:rPr>
            <w:noProof/>
          </w:rPr>
          <w:instrText xml:space="preserve"> PAGEREF _Toc39246848 \h </w:instrText>
        </w:r>
        <w:r>
          <w:rPr>
            <w:noProof/>
          </w:rPr>
        </w:r>
        <w:r>
          <w:rPr>
            <w:noProof/>
          </w:rPr>
          <w:fldChar w:fldCharType="separate"/>
        </w:r>
        <w:r>
          <w:rPr>
            <w:noProof/>
          </w:rPr>
          <w:t>3-1</w:t>
        </w:r>
        <w:r>
          <w:rPr>
            <w:noProof/>
          </w:rPr>
          <w:fldChar w:fldCharType="end"/>
        </w:r>
      </w:hyperlink>
    </w:p>
    <w:p w14:paraId="1FC34742" w14:textId="56D3CBFA" w:rsidR="00713AF0" w:rsidRDefault="00713AF0">
      <w:pPr>
        <w:pStyle w:val="TOC2"/>
        <w:tabs>
          <w:tab w:val="left" w:pos="907"/>
        </w:tabs>
        <w:rPr>
          <w:rFonts w:asciiTheme="minorHAnsi" w:eastAsiaTheme="minorEastAsia" w:hAnsiTheme="minorHAnsi" w:cstheme="minorBidi"/>
          <w:caps w:val="0"/>
          <w:noProof/>
          <w:sz w:val="22"/>
          <w:szCs w:val="22"/>
        </w:rPr>
      </w:pPr>
      <w:hyperlink w:anchor="_Toc39246849" w:history="1">
        <w:r w:rsidRPr="00AC6B54">
          <w:rPr>
            <w:rStyle w:val="Hyperlink"/>
            <w:noProof/>
          </w:rPr>
          <w:t>3.3</w:t>
        </w:r>
        <w:r>
          <w:rPr>
            <w:rFonts w:asciiTheme="minorHAnsi" w:eastAsiaTheme="minorEastAsia" w:hAnsiTheme="minorHAnsi" w:cstheme="minorBidi"/>
            <w:caps w:val="0"/>
            <w:noProof/>
            <w:sz w:val="22"/>
            <w:szCs w:val="22"/>
          </w:rPr>
          <w:tab/>
        </w:r>
        <w:r w:rsidRPr="00AC6B54">
          <w:rPr>
            <w:rStyle w:val="Hyperlink"/>
            <w:noProof/>
          </w:rPr>
          <w:t>Functions at Security Verifiers</w:t>
        </w:r>
        <w:r>
          <w:rPr>
            <w:noProof/>
          </w:rPr>
          <w:tab/>
        </w:r>
        <w:r>
          <w:rPr>
            <w:noProof/>
          </w:rPr>
          <w:fldChar w:fldCharType="begin"/>
        </w:r>
        <w:r>
          <w:rPr>
            <w:noProof/>
          </w:rPr>
          <w:instrText xml:space="preserve"> PAGEREF _Toc39246849 \h </w:instrText>
        </w:r>
        <w:r>
          <w:rPr>
            <w:noProof/>
          </w:rPr>
        </w:r>
        <w:r>
          <w:rPr>
            <w:noProof/>
          </w:rPr>
          <w:fldChar w:fldCharType="separate"/>
        </w:r>
        <w:r>
          <w:rPr>
            <w:noProof/>
          </w:rPr>
          <w:t>3-4</w:t>
        </w:r>
        <w:r>
          <w:rPr>
            <w:noProof/>
          </w:rPr>
          <w:fldChar w:fldCharType="end"/>
        </w:r>
      </w:hyperlink>
    </w:p>
    <w:p w14:paraId="21917962" w14:textId="0FD3C636" w:rsidR="00713AF0" w:rsidRDefault="00713AF0">
      <w:pPr>
        <w:pStyle w:val="TOC2"/>
        <w:tabs>
          <w:tab w:val="left" w:pos="907"/>
        </w:tabs>
        <w:rPr>
          <w:rFonts w:asciiTheme="minorHAnsi" w:eastAsiaTheme="minorEastAsia" w:hAnsiTheme="minorHAnsi" w:cstheme="minorBidi"/>
          <w:caps w:val="0"/>
          <w:noProof/>
          <w:sz w:val="22"/>
          <w:szCs w:val="22"/>
        </w:rPr>
      </w:pPr>
      <w:hyperlink w:anchor="_Toc39246850" w:history="1">
        <w:r w:rsidRPr="00AC6B54">
          <w:rPr>
            <w:rStyle w:val="Hyperlink"/>
            <w:noProof/>
          </w:rPr>
          <w:t>3.4</w:t>
        </w:r>
        <w:r>
          <w:rPr>
            <w:rFonts w:asciiTheme="minorHAnsi" w:eastAsiaTheme="minorEastAsia" w:hAnsiTheme="minorHAnsi" w:cstheme="minorBidi"/>
            <w:caps w:val="0"/>
            <w:noProof/>
            <w:sz w:val="22"/>
            <w:szCs w:val="22"/>
          </w:rPr>
          <w:tab/>
        </w:r>
        <w:r w:rsidRPr="00AC6B54">
          <w:rPr>
            <w:rStyle w:val="Hyperlink"/>
            <w:noProof/>
          </w:rPr>
          <w:t>Function at Security Acceptors</w:t>
        </w:r>
        <w:r>
          <w:rPr>
            <w:noProof/>
          </w:rPr>
          <w:tab/>
        </w:r>
        <w:r>
          <w:rPr>
            <w:noProof/>
          </w:rPr>
          <w:fldChar w:fldCharType="begin"/>
        </w:r>
        <w:r>
          <w:rPr>
            <w:noProof/>
          </w:rPr>
          <w:instrText xml:space="preserve"> PAGEREF _Toc39246850 \h </w:instrText>
        </w:r>
        <w:r>
          <w:rPr>
            <w:noProof/>
          </w:rPr>
        </w:r>
        <w:r>
          <w:rPr>
            <w:noProof/>
          </w:rPr>
          <w:fldChar w:fldCharType="separate"/>
        </w:r>
        <w:r>
          <w:rPr>
            <w:noProof/>
          </w:rPr>
          <w:t>3-6</w:t>
        </w:r>
        <w:r>
          <w:rPr>
            <w:noProof/>
          </w:rPr>
          <w:fldChar w:fldCharType="end"/>
        </w:r>
      </w:hyperlink>
    </w:p>
    <w:p w14:paraId="64EA663D" w14:textId="637934AF" w:rsidR="00713AF0" w:rsidRDefault="00713AF0">
      <w:pPr>
        <w:pStyle w:val="TOC1"/>
        <w:rPr>
          <w:rFonts w:asciiTheme="minorHAnsi" w:eastAsiaTheme="minorEastAsia" w:hAnsiTheme="minorHAnsi" w:cstheme="minorBidi"/>
          <w:b w:val="0"/>
          <w:caps w:val="0"/>
          <w:noProof/>
          <w:sz w:val="22"/>
          <w:szCs w:val="22"/>
        </w:rPr>
      </w:pPr>
      <w:hyperlink w:anchor="_Toc39246851" w:history="1">
        <w:r w:rsidRPr="00AC6B54">
          <w:rPr>
            <w:rStyle w:val="Hyperlink"/>
            <w:noProof/>
          </w:rPr>
          <w:t>4</w:t>
        </w:r>
        <w:r>
          <w:rPr>
            <w:rFonts w:asciiTheme="minorHAnsi" w:eastAsiaTheme="minorEastAsia" w:hAnsiTheme="minorHAnsi" w:cstheme="minorBidi"/>
            <w:b w:val="0"/>
            <w:caps w:val="0"/>
            <w:noProof/>
            <w:sz w:val="22"/>
            <w:szCs w:val="22"/>
          </w:rPr>
          <w:tab/>
        </w:r>
        <w:r w:rsidRPr="00AC6B54">
          <w:rPr>
            <w:rStyle w:val="Hyperlink"/>
            <w:noProof/>
          </w:rPr>
          <w:t>Protocol Specification</w:t>
        </w:r>
        <w:r>
          <w:rPr>
            <w:noProof/>
          </w:rPr>
          <w:tab/>
        </w:r>
        <w:r>
          <w:rPr>
            <w:noProof/>
          </w:rPr>
          <w:fldChar w:fldCharType="begin"/>
        </w:r>
        <w:r>
          <w:rPr>
            <w:noProof/>
          </w:rPr>
          <w:instrText xml:space="preserve"> PAGEREF _Toc39246851 \h </w:instrText>
        </w:r>
        <w:r>
          <w:rPr>
            <w:noProof/>
          </w:rPr>
        </w:r>
        <w:r>
          <w:rPr>
            <w:noProof/>
          </w:rPr>
          <w:fldChar w:fldCharType="separate"/>
        </w:r>
        <w:r>
          <w:rPr>
            <w:noProof/>
          </w:rPr>
          <w:t>4-1</w:t>
        </w:r>
        <w:r>
          <w:rPr>
            <w:noProof/>
          </w:rPr>
          <w:fldChar w:fldCharType="end"/>
        </w:r>
      </w:hyperlink>
    </w:p>
    <w:p w14:paraId="0F611080" w14:textId="655D5034" w:rsidR="00713AF0" w:rsidRDefault="00713AF0">
      <w:pPr>
        <w:pStyle w:val="TOC2"/>
        <w:tabs>
          <w:tab w:val="left" w:pos="907"/>
        </w:tabs>
        <w:rPr>
          <w:rFonts w:asciiTheme="minorHAnsi" w:eastAsiaTheme="minorEastAsia" w:hAnsiTheme="minorHAnsi" w:cstheme="minorBidi"/>
          <w:caps w:val="0"/>
          <w:noProof/>
          <w:sz w:val="22"/>
          <w:szCs w:val="22"/>
        </w:rPr>
      </w:pPr>
      <w:hyperlink w:anchor="_Toc39246852" w:history="1">
        <w:r w:rsidRPr="00AC6B54">
          <w:rPr>
            <w:rStyle w:val="Hyperlink"/>
            <w:noProof/>
          </w:rPr>
          <w:t>4.1</w:t>
        </w:r>
        <w:r>
          <w:rPr>
            <w:rFonts w:asciiTheme="minorHAnsi" w:eastAsiaTheme="minorEastAsia" w:hAnsiTheme="minorHAnsi" w:cstheme="minorBidi"/>
            <w:caps w:val="0"/>
            <w:noProof/>
            <w:sz w:val="22"/>
            <w:szCs w:val="22"/>
          </w:rPr>
          <w:tab/>
        </w:r>
        <w:r w:rsidRPr="00AC6B54">
          <w:rPr>
            <w:rStyle w:val="Hyperlink"/>
            <w:noProof/>
          </w:rPr>
          <w:t>Protocol Data Units</w:t>
        </w:r>
        <w:r>
          <w:rPr>
            <w:noProof/>
          </w:rPr>
          <w:tab/>
        </w:r>
        <w:r>
          <w:rPr>
            <w:noProof/>
          </w:rPr>
          <w:fldChar w:fldCharType="begin"/>
        </w:r>
        <w:r>
          <w:rPr>
            <w:noProof/>
          </w:rPr>
          <w:instrText xml:space="preserve"> PAGEREF _Toc39246852 \h </w:instrText>
        </w:r>
        <w:r>
          <w:rPr>
            <w:noProof/>
          </w:rPr>
        </w:r>
        <w:r>
          <w:rPr>
            <w:noProof/>
          </w:rPr>
          <w:fldChar w:fldCharType="separate"/>
        </w:r>
        <w:r>
          <w:rPr>
            <w:noProof/>
          </w:rPr>
          <w:t>4-1</w:t>
        </w:r>
        <w:r>
          <w:rPr>
            <w:noProof/>
          </w:rPr>
          <w:fldChar w:fldCharType="end"/>
        </w:r>
      </w:hyperlink>
    </w:p>
    <w:p w14:paraId="19C2A5EA" w14:textId="1177E93D" w:rsidR="00713AF0" w:rsidRDefault="00713AF0">
      <w:pPr>
        <w:pStyle w:val="TOC2"/>
        <w:tabs>
          <w:tab w:val="left" w:pos="907"/>
        </w:tabs>
        <w:rPr>
          <w:rFonts w:asciiTheme="minorHAnsi" w:eastAsiaTheme="minorEastAsia" w:hAnsiTheme="minorHAnsi" w:cstheme="minorBidi"/>
          <w:caps w:val="0"/>
          <w:noProof/>
          <w:sz w:val="22"/>
          <w:szCs w:val="22"/>
        </w:rPr>
      </w:pPr>
      <w:hyperlink w:anchor="_Toc39246853" w:history="1">
        <w:r w:rsidRPr="00AC6B54">
          <w:rPr>
            <w:rStyle w:val="Hyperlink"/>
            <w:noProof/>
          </w:rPr>
          <w:t>4.2</w:t>
        </w:r>
        <w:r>
          <w:rPr>
            <w:rFonts w:asciiTheme="minorHAnsi" w:eastAsiaTheme="minorEastAsia" w:hAnsiTheme="minorHAnsi" w:cstheme="minorBidi"/>
            <w:caps w:val="0"/>
            <w:noProof/>
            <w:sz w:val="22"/>
            <w:szCs w:val="22"/>
          </w:rPr>
          <w:tab/>
        </w:r>
        <w:r w:rsidRPr="00AC6B54">
          <w:rPr>
            <w:rStyle w:val="Hyperlink"/>
            <w:noProof/>
          </w:rPr>
          <w:t>Security Protocol Procedures</w:t>
        </w:r>
        <w:r>
          <w:rPr>
            <w:noProof/>
          </w:rPr>
          <w:tab/>
        </w:r>
        <w:r>
          <w:rPr>
            <w:noProof/>
          </w:rPr>
          <w:fldChar w:fldCharType="begin"/>
        </w:r>
        <w:r>
          <w:rPr>
            <w:noProof/>
          </w:rPr>
          <w:instrText xml:space="preserve"> PAGEREF _Toc39246853 \h </w:instrText>
        </w:r>
        <w:r>
          <w:rPr>
            <w:noProof/>
          </w:rPr>
        </w:r>
        <w:r>
          <w:rPr>
            <w:noProof/>
          </w:rPr>
          <w:fldChar w:fldCharType="separate"/>
        </w:r>
        <w:r>
          <w:rPr>
            <w:noProof/>
          </w:rPr>
          <w:t>4-6</w:t>
        </w:r>
        <w:r>
          <w:rPr>
            <w:noProof/>
          </w:rPr>
          <w:fldChar w:fldCharType="end"/>
        </w:r>
      </w:hyperlink>
    </w:p>
    <w:p w14:paraId="5B63CA50" w14:textId="7B88AE3A" w:rsidR="00713AF0" w:rsidRDefault="00713AF0">
      <w:pPr>
        <w:pStyle w:val="TOC1"/>
        <w:rPr>
          <w:rFonts w:asciiTheme="minorHAnsi" w:eastAsiaTheme="minorEastAsia" w:hAnsiTheme="minorHAnsi" w:cstheme="minorBidi"/>
          <w:b w:val="0"/>
          <w:caps w:val="0"/>
          <w:noProof/>
          <w:sz w:val="22"/>
          <w:szCs w:val="22"/>
        </w:rPr>
      </w:pPr>
      <w:hyperlink w:anchor="_Toc39246854" w:history="1">
        <w:r w:rsidRPr="00AC6B54">
          <w:rPr>
            <w:rStyle w:val="Hyperlink"/>
            <w:noProof/>
          </w:rPr>
          <w:t>5</w:t>
        </w:r>
        <w:r>
          <w:rPr>
            <w:rFonts w:asciiTheme="minorHAnsi" w:eastAsiaTheme="minorEastAsia" w:hAnsiTheme="minorHAnsi" w:cstheme="minorBidi"/>
            <w:b w:val="0"/>
            <w:caps w:val="0"/>
            <w:noProof/>
            <w:sz w:val="22"/>
            <w:szCs w:val="22"/>
          </w:rPr>
          <w:tab/>
        </w:r>
        <w:r w:rsidRPr="00AC6B54">
          <w:rPr>
            <w:rStyle w:val="Hyperlink"/>
            <w:noProof/>
          </w:rPr>
          <w:t>Managed Parameters</w:t>
        </w:r>
        <w:r>
          <w:rPr>
            <w:noProof/>
          </w:rPr>
          <w:tab/>
        </w:r>
        <w:r>
          <w:rPr>
            <w:noProof/>
          </w:rPr>
          <w:fldChar w:fldCharType="begin"/>
        </w:r>
        <w:r>
          <w:rPr>
            <w:noProof/>
          </w:rPr>
          <w:instrText xml:space="preserve"> PAGEREF _Toc39246854 \h </w:instrText>
        </w:r>
        <w:r>
          <w:rPr>
            <w:noProof/>
          </w:rPr>
        </w:r>
        <w:r>
          <w:rPr>
            <w:noProof/>
          </w:rPr>
          <w:fldChar w:fldCharType="separate"/>
        </w:r>
        <w:r>
          <w:rPr>
            <w:noProof/>
          </w:rPr>
          <w:t>5-1</w:t>
        </w:r>
        <w:r>
          <w:rPr>
            <w:noProof/>
          </w:rPr>
          <w:fldChar w:fldCharType="end"/>
        </w:r>
      </w:hyperlink>
    </w:p>
    <w:p w14:paraId="1E5543C5" w14:textId="23F02A50" w:rsidR="00713AF0" w:rsidRDefault="00713AF0">
      <w:pPr>
        <w:pStyle w:val="TOC2"/>
        <w:tabs>
          <w:tab w:val="left" w:pos="907"/>
        </w:tabs>
        <w:rPr>
          <w:rFonts w:asciiTheme="minorHAnsi" w:eastAsiaTheme="minorEastAsia" w:hAnsiTheme="minorHAnsi" w:cstheme="minorBidi"/>
          <w:caps w:val="0"/>
          <w:noProof/>
          <w:sz w:val="22"/>
          <w:szCs w:val="22"/>
        </w:rPr>
      </w:pPr>
      <w:hyperlink w:anchor="_Toc39246855" w:history="1">
        <w:r w:rsidRPr="00AC6B54">
          <w:rPr>
            <w:rStyle w:val="Hyperlink"/>
            <w:noProof/>
          </w:rPr>
          <w:t>5.1</w:t>
        </w:r>
        <w:r>
          <w:rPr>
            <w:rFonts w:asciiTheme="minorHAnsi" w:eastAsiaTheme="minorEastAsia" w:hAnsiTheme="minorHAnsi" w:cstheme="minorBidi"/>
            <w:caps w:val="0"/>
            <w:noProof/>
            <w:sz w:val="22"/>
            <w:szCs w:val="22"/>
          </w:rPr>
          <w:tab/>
        </w:r>
        <w:r w:rsidRPr="00AC6B54">
          <w:rPr>
            <w:rStyle w:val="Hyperlink"/>
            <w:noProof/>
          </w:rPr>
          <w:t>Overview</w:t>
        </w:r>
        <w:r>
          <w:rPr>
            <w:noProof/>
          </w:rPr>
          <w:tab/>
        </w:r>
        <w:r>
          <w:rPr>
            <w:noProof/>
          </w:rPr>
          <w:fldChar w:fldCharType="begin"/>
        </w:r>
        <w:r>
          <w:rPr>
            <w:noProof/>
          </w:rPr>
          <w:instrText xml:space="preserve"> PAGEREF _Toc39246855 \h </w:instrText>
        </w:r>
        <w:r>
          <w:rPr>
            <w:noProof/>
          </w:rPr>
        </w:r>
        <w:r>
          <w:rPr>
            <w:noProof/>
          </w:rPr>
          <w:fldChar w:fldCharType="separate"/>
        </w:r>
        <w:r>
          <w:rPr>
            <w:noProof/>
          </w:rPr>
          <w:t>5-1</w:t>
        </w:r>
        <w:r>
          <w:rPr>
            <w:noProof/>
          </w:rPr>
          <w:fldChar w:fldCharType="end"/>
        </w:r>
      </w:hyperlink>
    </w:p>
    <w:p w14:paraId="481594D6" w14:textId="57DE8808" w:rsidR="00713AF0" w:rsidRDefault="00713AF0">
      <w:pPr>
        <w:pStyle w:val="TOC2"/>
        <w:tabs>
          <w:tab w:val="left" w:pos="907"/>
        </w:tabs>
        <w:rPr>
          <w:rStyle w:val="Hyperlink"/>
          <w:noProof/>
        </w:rPr>
      </w:pPr>
      <w:hyperlink w:anchor="_Toc39246856" w:history="1">
        <w:r w:rsidRPr="00AC6B54">
          <w:rPr>
            <w:rStyle w:val="Hyperlink"/>
            <w:noProof/>
          </w:rPr>
          <w:t>5.2</w:t>
        </w:r>
        <w:r>
          <w:rPr>
            <w:rFonts w:asciiTheme="minorHAnsi" w:eastAsiaTheme="minorEastAsia" w:hAnsiTheme="minorHAnsi" w:cstheme="minorBidi"/>
            <w:caps w:val="0"/>
            <w:noProof/>
            <w:sz w:val="22"/>
            <w:szCs w:val="22"/>
          </w:rPr>
          <w:tab/>
        </w:r>
        <w:r w:rsidRPr="00AC6B54">
          <w:rPr>
            <w:rStyle w:val="Hyperlink"/>
            <w:noProof/>
          </w:rPr>
          <w:t>Requirements</w:t>
        </w:r>
        <w:r>
          <w:rPr>
            <w:noProof/>
          </w:rPr>
          <w:tab/>
        </w:r>
        <w:r>
          <w:rPr>
            <w:noProof/>
          </w:rPr>
          <w:fldChar w:fldCharType="begin"/>
        </w:r>
        <w:r>
          <w:rPr>
            <w:noProof/>
          </w:rPr>
          <w:instrText xml:space="preserve"> PAGEREF _Toc39246856 \h </w:instrText>
        </w:r>
        <w:r>
          <w:rPr>
            <w:noProof/>
          </w:rPr>
        </w:r>
        <w:r>
          <w:rPr>
            <w:noProof/>
          </w:rPr>
          <w:fldChar w:fldCharType="separate"/>
        </w:r>
        <w:r>
          <w:rPr>
            <w:noProof/>
          </w:rPr>
          <w:t>5-1</w:t>
        </w:r>
        <w:r>
          <w:rPr>
            <w:noProof/>
          </w:rPr>
          <w:fldChar w:fldCharType="end"/>
        </w:r>
      </w:hyperlink>
    </w:p>
    <w:p w14:paraId="0F158E60" w14:textId="69B7FD60" w:rsidR="00713AF0" w:rsidRDefault="00713AF0" w:rsidP="00394053">
      <w:pPr>
        <w:rPr>
          <w:rFonts w:eastAsiaTheme="minorEastAsia"/>
        </w:rPr>
      </w:pPr>
    </w:p>
    <w:p w14:paraId="52803D2A" w14:textId="77777777" w:rsidR="00713AF0" w:rsidRPr="00394053" w:rsidRDefault="00713AF0" w:rsidP="00394053">
      <w:pPr>
        <w:rPr>
          <w:rFonts w:eastAsiaTheme="minorEastAsia"/>
        </w:rPr>
      </w:pPr>
    </w:p>
    <w:p w14:paraId="64954CD7" w14:textId="07FABEDF" w:rsidR="00713AF0" w:rsidRDefault="001502B3">
      <w:pPr>
        <w:pStyle w:val="TOC8"/>
        <w:rPr>
          <w:rFonts w:asciiTheme="minorHAnsi" w:eastAsiaTheme="minorEastAsia" w:hAnsiTheme="minorHAnsi" w:cstheme="minorBidi"/>
          <w:b w:val="0"/>
          <w:caps w:val="0"/>
          <w:noProof/>
          <w:sz w:val="22"/>
          <w:szCs w:val="22"/>
        </w:rPr>
      </w:pPr>
      <w:r>
        <w:fldChar w:fldCharType="end"/>
      </w:r>
      <w:r>
        <w:fldChar w:fldCharType="begin"/>
      </w:r>
      <w:r>
        <w:instrText xml:space="preserve"> TOC \o "8-8" \h \* MERGEFORMAT </w:instrText>
      </w:r>
      <w:r>
        <w:fldChar w:fldCharType="separate"/>
      </w:r>
      <w:hyperlink w:anchor="_Toc39246857" w:history="1">
        <w:r w:rsidR="00713AF0" w:rsidRPr="00FB2BE7">
          <w:rPr>
            <w:rStyle w:val="Hyperlink"/>
            <w:noProof/>
          </w:rPr>
          <w:t>ANNEX A Protocol Implementation Conformance  Statement (PICS) Proforma   (normative)</w:t>
        </w:r>
        <w:r w:rsidR="00713AF0">
          <w:rPr>
            <w:noProof/>
          </w:rPr>
          <w:tab/>
        </w:r>
        <w:r w:rsidR="00713AF0">
          <w:rPr>
            <w:noProof/>
          </w:rPr>
          <w:fldChar w:fldCharType="begin"/>
        </w:r>
        <w:r w:rsidR="00713AF0">
          <w:rPr>
            <w:noProof/>
          </w:rPr>
          <w:instrText xml:space="preserve"> PAGEREF _Toc39246857 \h </w:instrText>
        </w:r>
        <w:r w:rsidR="00713AF0">
          <w:rPr>
            <w:noProof/>
          </w:rPr>
        </w:r>
        <w:r w:rsidR="00713AF0">
          <w:rPr>
            <w:noProof/>
          </w:rPr>
          <w:fldChar w:fldCharType="separate"/>
        </w:r>
        <w:r w:rsidR="00713AF0">
          <w:rPr>
            <w:noProof/>
          </w:rPr>
          <w:t>A-1</w:t>
        </w:r>
        <w:r w:rsidR="00713AF0">
          <w:rPr>
            <w:noProof/>
          </w:rPr>
          <w:fldChar w:fldCharType="end"/>
        </w:r>
      </w:hyperlink>
    </w:p>
    <w:p w14:paraId="4EB1AFAB" w14:textId="38E86C78" w:rsidR="00713AF0" w:rsidRDefault="00713AF0">
      <w:pPr>
        <w:pStyle w:val="TOC8"/>
        <w:rPr>
          <w:rFonts w:asciiTheme="minorHAnsi" w:eastAsiaTheme="minorEastAsia" w:hAnsiTheme="minorHAnsi" w:cstheme="minorBidi"/>
          <w:b w:val="0"/>
          <w:caps w:val="0"/>
          <w:noProof/>
          <w:sz w:val="22"/>
          <w:szCs w:val="22"/>
        </w:rPr>
      </w:pPr>
      <w:hyperlink w:anchor="_Toc39246858" w:history="1">
        <w:r w:rsidRPr="00FB2BE7">
          <w:rPr>
            <w:rStyle w:val="Hyperlink"/>
            <w:noProof/>
          </w:rPr>
          <w:t>ANNEX B   Security, SANA, and Patent Considerations   (Informative)</w:t>
        </w:r>
        <w:r>
          <w:rPr>
            <w:noProof/>
          </w:rPr>
          <w:tab/>
        </w:r>
        <w:r>
          <w:rPr>
            <w:noProof/>
          </w:rPr>
          <w:fldChar w:fldCharType="begin"/>
        </w:r>
        <w:r>
          <w:rPr>
            <w:noProof/>
          </w:rPr>
          <w:instrText xml:space="preserve"> PAGEREF _Toc39246858 \h </w:instrText>
        </w:r>
        <w:r>
          <w:rPr>
            <w:noProof/>
          </w:rPr>
        </w:r>
        <w:r>
          <w:rPr>
            <w:noProof/>
          </w:rPr>
          <w:fldChar w:fldCharType="separate"/>
        </w:r>
        <w:r>
          <w:rPr>
            <w:noProof/>
          </w:rPr>
          <w:t>B-1</w:t>
        </w:r>
        <w:r>
          <w:rPr>
            <w:noProof/>
          </w:rPr>
          <w:fldChar w:fldCharType="end"/>
        </w:r>
      </w:hyperlink>
    </w:p>
    <w:p w14:paraId="11AD0B9D" w14:textId="23F5A83D" w:rsidR="00713AF0" w:rsidRDefault="00713AF0">
      <w:pPr>
        <w:pStyle w:val="TOC8"/>
        <w:rPr>
          <w:rFonts w:asciiTheme="minorHAnsi" w:eastAsiaTheme="minorEastAsia" w:hAnsiTheme="minorHAnsi" w:cstheme="minorBidi"/>
          <w:b w:val="0"/>
          <w:caps w:val="0"/>
          <w:noProof/>
          <w:sz w:val="22"/>
          <w:szCs w:val="22"/>
        </w:rPr>
      </w:pPr>
      <w:hyperlink w:anchor="_Toc39246859" w:history="1">
        <w:r w:rsidRPr="00FB2BE7">
          <w:rPr>
            <w:rStyle w:val="Hyperlink"/>
            <w:noProof/>
          </w:rPr>
          <w:t>ANNEX C Informative References   (Informative)</w:t>
        </w:r>
        <w:r>
          <w:rPr>
            <w:noProof/>
          </w:rPr>
          <w:tab/>
        </w:r>
        <w:r>
          <w:rPr>
            <w:noProof/>
          </w:rPr>
          <w:fldChar w:fldCharType="begin"/>
        </w:r>
        <w:r>
          <w:rPr>
            <w:noProof/>
          </w:rPr>
          <w:instrText xml:space="preserve"> PAGEREF _Toc39246859 \h </w:instrText>
        </w:r>
        <w:r>
          <w:rPr>
            <w:noProof/>
          </w:rPr>
        </w:r>
        <w:r>
          <w:rPr>
            <w:noProof/>
          </w:rPr>
          <w:fldChar w:fldCharType="separate"/>
        </w:r>
        <w:r>
          <w:rPr>
            <w:noProof/>
          </w:rPr>
          <w:t>C-1</w:t>
        </w:r>
        <w:r>
          <w:rPr>
            <w:noProof/>
          </w:rPr>
          <w:fldChar w:fldCharType="end"/>
        </w:r>
      </w:hyperlink>
    </w:p>
    <w:p w14:paraId="36A34D5E" w14:textId="2CA76DEE" w:rsidR="00713AF0" w:rsidRDefault="00713AF0">
      <w:pPr>
        <w:pStyle w:val="TOC8"/>
        <w:rPr>
          <w:rFonts w:asciiTheme="minorHAnsi" w:eastAsiaTheme="minorEastAsia" w:hAnsiTheme="minorHAnsi" w:cstheme="minorBidi"/>
          <w:b w:val="0"/>
          <w:caps w:val="0"/>
          <w:noProof/>
          <w:sz w:val="22"/>
          <w:szCs w:val="22"/>
        </w:rPr>
      </w:pPr>
      <w:hyperlink w:anchor="_Toc39246860" w:history="1">
        <w:r w:rsidRPr="00FB2BE7">
          <w:rPr>
            <w:rStyle w:val="Hyperlink"/>
            <w:noProof/>
          </w:rPr>
          <w:t>ANNEX D Abbreviations  (Informative)</w:t>
        </w:r>
        <w:r>
          <w:rPr>
            <w:noProof/>
          </w:rPr>
          <w:tab/>
        </w:r>
        <w:r>
          <w:rPr>
            <w:noProof/>
          </w:rPr>
          <w:fldChar w:fldCharType="begin"/>
        </w:r>
        <w:r>
          <w:rPr>
            <w:noProof/>
          </w:rPr>
          <w:instrText xml:space="preserve"> PAGEREF _Toc39246860 \h </w:instrText>
        </w:r>
        <w:r>
          <w:rPr>
            <w:noProof/>
          </w:rPr>
        </w:r>
        <w:r>
          <w:rPr>
            <w:noProof/>
          </w:rPr>
          <w:fldChar w:fldCharType="separate"/>
        </w:r>
        <w:r>
          <w:rPr>
            <w:noProof/>
          </w:rPr>
          <w:t>D-1</w:t>
        </w:r>
        <w:r>
          <w:rPr>
            <w:noProof/>
          </w:rPr>
          <w:fldChar w:fldCharType="end"/>
        </w:r>
      </w:hyperlink>
    </w:p>
    <w:p w14:paraId="31DBE5FE" w14:textId="7DFF07B4" w:rsidR="00713AF0" w:rsidRDefault="00713AF0">
      <w:pPr>
        <w:pStyle w:val="TOC8"/>
        <w:rPr>
          <w:rFonts w:asciiTheme="minorHAnsi" w:eastAsiaTheme="minorEastAsia" w:hAnsiTheme="minorHAnsi" w:cstheme="minorBidi"/>
          <w:b w:val="0"/>
          <w:caps w:val="0"/>
          <w:noProof/>
          <w:sz w:val="22"/>
          <w:szCs w:val="22"/>
        </w:rPr>
      </w:pPr>
      <w:hyperlink w:anchor="_Toc39246861" w:history="1">
        <w:r w:rsidRPr="00FB2BE7">
          <w:rPr>
            <w:rStyle w:val="Hyperlink"/>
            <w:noProof/>
          </w:rPr>
          <w:t>ANNEX E Baseline Mode  (Informative)</w:t>
        </w:r>
        <w:r>
          <w:rPr>
            <w:noProof/>
          </w:rPr>
          <w:tab/>
        </w:r>
        <w:r>
          <w:rPr>
            <w:noProof/>
          </w:rPr>
          <w:fldChar w:fldCharType="begin"/>
        </w:r>
        <w:r>
          <w:rPr>
            <w:noProof/>
          </w:rPr>
          <w:instrText xml:space="preserve"> PAGEREF _Toc39246861 \h </w:instrText>
        </w:r>
        <w:r>
          <w:rPr>
            <w:noProof/>
          </w:rPr>
        </w:r>
        <w:r>
          <w:rPr>
            <w:noProof/>
          </w:rPr>
          <w:fldChar w:fldCharType="separate"/>
        </w:r>
        <w:r>
          <w:rPr>
            <w:noProof/>
          </w:rPr>
          <w:t>E-1</w:t>
        </w:r>
        <w:r>
          <w:rPr>
            <w:noProof/>
          </w:rPr>
          <w:fldChar w:fldCharType="end"/>
        </w:r>
      </w:hyperlink>
    </w:p>
    <w:p w14:paraId="67D43FBA" w14:textId="3D7F8CB0" w:rsidR="00A32DEB" w:rsidRDefault="001502B3" w:rsidP="001502B3">
      <w:pPr>
        <w:pStyle w:val="toccolumnheadings"/>
        <w:spacing w:before="480"/>
      </w:pPr>
      <w:r>
        <w:fldChar w:fldCharType="end"/>
      </w:r>
      <w:r>
        <w:t>Figure</w:t>
      </w:r>
    </w:p>
    <w:p w14:paraId="3FC2FB79" w14:textId="228C7146" w:rsidR="00E25D1B" w:rsidRDefault="00255877">
      <w:pPr>
        <w:pStyle w:val="TableofFigures"/>
        <w:tabs>
          <w:tab w:val="right" w:leader="dot" w:pos="899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39247067" w:history="1">
        <w:r w:rsidR="00E25D1B" w:rsidRPr="00FE03CA">
          <w:rPr>
            <w:rStyle w:val="Hyperlink"/>
            <w:noProof/>
          </w:rPr>
          <w:t>Figure 2</w:t>
        </w:r>
        <w:r w:rsidR="00E25D1B" w:rsidRPr="00FE03CA">
          <w:rPr>
            <w:rStyle w:val="Hyperlink"/>
            <w:noProof/>
          </w:rPr>
          <w:noBreakHyphen/>
          <w:t>1:  Bundle Nodes Sit at the Application Layer of the Internet Model</w:t>
        </w:r>
        <w:r w:rsidR="00E25D1B">
          <w:rPr>
            <w:noProof/>
            <w:webHidden/>
          </w:rPr>
          <w:tab/>
        </w:r>
        <w:r w:rsidR="00E25D1B">
          <w:rPr>
            <w:noProof/>
            <w:webHidden/>
          </w:rPr>
          <w:fldChar w:fldCharType="begin"/>
        </w:r>
        <w:r w:rsidR="00E25D1B">
          <w:rPr>
            <w:noProof/>
            <w:webHidden/>
          </w:rPr>
          <w:instrText xml:space="preserve"> PAGEREF _Toc39247067 \h </w:instrText>
        </w:r>
        <w:r w:rsidR="00E25D1B">
          <w:rPr>
            <w:noProof/>
            <w:webHidden/>
          </w:rPr>
        </w:r>
        <w:r w:rsidR="00E25D1B">
          <w:rPr>
            <w:noProof/>
            <w:webHidden/>
          </w:rPr>
          <w:fldChar w:fldCharType="separate"/>
        </w:r>
        <w:r w:rsidR="00E25D1B">
          <w:rPr>
            <w:noProof/>
            <w:webHidden/>
          </w:rPr>
          <w:t>2-1</w:t>
        </w:r>
        <w:r w:rsidR="00E25D1B">
          <w:rPr>
            <w:noProof/>
            <w:webHidden/>
          </w:rPr>
          <w:fldChar w:fldCharType="end"/>
        </w:r>
      </w:hyperlink>
    </w:p>
    <w:p w14:paraId="36362853" w14:textId="642FEB05" w:rsidR="00E25D1B" w:rsidRDefault="00E25D1B">
      <w:pPr>
        <w:pStyle w:val="TableofFigures"/>
        <w:tabs>
          <w:tab w:val="right" w:leader="dot" w:pos="8990"/>
        </w:tabs>
        <w:rPr>
          <w:rFonts w:asciiTheme="minorHAnsi" w:eastAsiaTheme="minorEastAsia" w:hAnsiTheme="minorHAnsi" w:cstheme="minorBidi"/>
          <w:noProof/>
          <w:sz w:val="22"/>
          <w:szCs w:val="22"/>
        </w:rPr>
      </w:pPr>
      <w:hyperlink w:anchor="_Toc39247068" w:history="1">
        <w:r w:rsidRPr="00FE03CA">
          <w:rPr>
            <w:rStyle w:val="Hyperlink"/>
            <w:noProof/>
          </w:rPr>
          <w:t>Figure 2</w:t>
        </w:r>
        <w:r w:rsidRPr="00FE03CA">
          <w:rPr>
            <w:rStyle w:val="Hyperlink"/>
            <w:noProof/>
          </w:rPr>
          <w:noBreakHyphen/>
          <w:t>2 Security-aware BPAs operate on security blocks in a bundle.</w:t>
        </w:r>
        <w:r>
          <w:rPr>
            <w:noProof/>
            <w:webHidden/>
          </w:rPr>
          <w:tab/>
        </w:r>
        <w:r>
          <w:rPr>
            <w:noProof/>
            <w:webHidden/>
          </w:rPr>
          <w:fldChar w:fldCharType="begin"/>
        </w:r>
        <w:r>
          <w:rPr>
            <w:noProof/>
            <w:webHidden/>
          </w:rPr>
          <w:instrText xml:space="preserve"> PAGEREF _Toc39247068 \h </w:instrText>
        </w:r>
        <w:r>
          <w:rPr>
            <w:noProof/>
            <w:webHidden/>
          </w:rPr>
        </w:r>
        <w:r>
          <w:rPr>
            <w:noProof/>
            <w:webHidden/>
          </w:rPr>
          <w:fldChar w:fldCharType="separate"/>
        </w:r>
        <w:r>
          <w:rPr>
            <w:noProof/>
            <w:webHidden/>
          </w:rPr>
          <w:t>2-2</w:t>
        </w:r>
        <w:r>
          <w:rPr>
            <w:noProof/>
            <w:webHidden/>
          </w:rPr>
          <w:fldChar w:fldCharType="end"/>
        </w:r>
      </w:hyperlink>
    </w:p>
    <w:p w14:paraId="56B5CA0C" w14:textId="39953D5A" w:rsidR="00E25D1B" w:rsidRDefault="00E25D1B">
      <w:pPr>
        <w:pStyle w:val="TableofFigures"/>
        <w:tabs>
          <w:tab w:val="right" w:leader="dot" w:pos="8990"/>
        </w:tabs>
        <w:rPr>
          <w:rFonts w:asciiTheme="minorHAnsi" w:eastAsiaTheme="minorEastAsia" w:hAnsiTheme="minorHAnsi" w:cstheme="minorBidi"/>
          <w:noProof/>
          <w:sz w:val="22"/>
          <w:szCs w:val="22"/>
        </w:rPr>
      </w:pPr>
      <w:hyperlink w:anchor="_Toc39247069" w:history="1">
        <w:r w:rsidRPr="00FE03CA">
          <w:rPr>
            <w:rStyle w:val="Hyperlink"/>
            <w:noProof/>
          </w:rPr>
          <w:t>Figure 4</w:t>
        </w:r>
        <w:r w:rsidRPr="00FE03CA">
          <w:rPr>
            <w:rStyle w:val="Hyperlink"/>
            <w:noProof/>
          </w:rPr>
          <w:noBreakHyphen/>
          <w:t>1:  The Generic Security Block Structure</w:t>
        </w:r>
        <w:r>
          <w:rPr>
            <w:noProof/>
            <w:webHidden/>
          </w:rPr>
          <w:tab/>
        </w:r>
        <w:r>
          <w:rPr>
            <w:noProof/>
            <w:webHidden/>
          </w:rPr>
          <w:fldChar w:fldCharType="begin"/>
        </w:r>
        <w:r>
          <w:rPr>
            <w:noProof/>
            <w:webHidden/>
          </w:rPr>
          <w:instrText xml:space="preserve"> PAGEREF _Toc39247069 \h </w:instrText>
        </w:r>
        <w:r>
          <w:rPr>
            <w:noProof/>
            <w:webHidden/>
          </w:rPr>
        </w:r>
        <w:r>
          <w:rPr>
            <w:noProof/>
            <w:webHidden/>
          </w:rPr>
          <w:fldChar w:fldCharType="separate"/>
        </w:r>
        <w:r>
          <w:rPr>
            <w:noProof/>
            <w:webHidden/>
          </w:rPr>
          <w:t>4-2</w:t>
        </w:r>
        <w:r>
          <w:rPr>
            <w:noProof/>
            <w:webHidden/>
          </w:rPr>
          <w:fldChar w:fldCharType="end"/>
        </w:r>
      </w:hyperlink>
    </w:p>
    <w:p w14:paraId="17151CA8" w14:textId="2E3A31AF" w:rsidR="00E25D1B" w:rsidRDefault="00E25D1B">
      <w:pPr>
        <w:pStyle w:val="TableofFigures"/>
        <w:tabs>
          <w:tab w:val="right" w:leader="dot" w:pos="8990"/>
        </w:tabs>
        <w:rPr>
          <w:rFonts w:asciiTheme="minorHAnsi" w:eastAsiaTheme="minorEastAsia" w:hAnsiTheme="minorHAnsi" w:cstheme="minorBidi"/>
          <w:noProof/>
          <w:sz w:val="22"/>
          <w:szCs w:val="22"/>
        </w:rPr>
      </w:pPr>
      <w:hyperlink w:anchor="_Toc39247070" w:history="1">
        <w:r w:rsidRPr="00FE03CA">
          <w:rPr>
            <w:rStyle w:val="Hyperlink"/>
            <w:noProof/>
          </w:rPr>
          <w:t>Figure 4</w:t>
        </w:r>
        <w:r w:rsidRPr="00FE03CA">
          <w:rPr>
            <w:rStyle w:val="Hyperlink"/>
            <w:noProof/>
          </w:rPr>
          <w:noBreakHyphen/>
          <w:t>2:  Security Block Flags</w:t>
        </w:r>
        <w:r>
          <w:rPr>
            <w:noProof/>
            <w:webHidden/>
          </w:rPr>
          <w:tab/>
        </w:r>
        <w:r>
          <w:rPr>
            <w:noProof/>
            <w:webHidden/>
          </w:rPr>
          <w:fldChar w:fldCharType="begin"/>
        </w:r>
        <w:r>
          <w:rPr>
            <w:noProof/>
            <w:webHidden/>
          </w:rPr>
          <w:instrText xml:space="preserve"> PAGEREF _Toc39247070 \h </w:instrText>
        </w:r>
        <w:r>
          <w:rPr>
            <w:noProof/>
            <w:webHidden/>
          </w:rPr>
        </w:r>
        <w:r>
          <w:rPr>
            <w:noProof/>
            <w:webHidden/>
          </w:rPr>
          <w:fldChar w:fldCharType="separate"/>
        </w:r>
        <w:r>
          <w:rPr>
            <w:noProof/>
            <w:webHidden/>
          </w:rPr>
          <w:t>4-3</w:t>
        </w:r>
        <w:r>
          <w:rPr>
            <w:noProof/>
            <w:webHidden/>
          </w:rPr>
          <w:fldChar w:fldCharType="end"/>
        </w:r>
      </w:hyperlink>
    </w:p>
    <w:p w14:paraId="1FF91AE5" w14:textId="78624E26" w:rsidR="00E25D1B" w:rsidRDefault="00E25D1B">
      <w:pPr>
        <w:pStyle w:val="TableofFigures"/>
        <w:tabs>
          <w:tab w:val="right" w:leader="dot" w:pos="8990"/>
        </w:tabs>
        <w:rPr>
          <w:rFonts w:asciiTheme="minorHAnsi" w:eastAsiaTheme="minorEastAsia" w:hAnsiTheme="minorHAnsi" w:cstheme="minorBidi"/>
          <w:noProof/>
          <w:sz w:val="22"/>
          <w:szCs w:val="22"/>
        </w:rPr>
      </w:pPr>
      <w:hyperlink w:anchor="_Toc39247071" w:history="1">
        <w:r w:rsidRPr="00FE03CA">
          <w:rPr>
            <w:rStyle w:val="Hyperlink"/>
            <w:noProof/>
          </w:rPr>
          <w:t>Figure 4</w:t>
        </w:r>
        <w:r w:rsidRPr="00FE03CA">
          <w:rPr>
            <w:rStyle w:val="Hyperlink"/>
            <w:noProof/>
          </w:rPr>
          <w:noBreakHyphen/>
          <w:t>3:  The Canonical Form of the Primary Bundle Block</w:t>
        </w:r>
        <w:r>
          <w:rPr>
            <w:noProof/>
            <w:webHidden/>
          </w:rPr>
          <w:tab/>
        </w:r>
        <w:r>
          <w:rPr>
            <w:noProof/>
            <w:webHidden/>
          </w:rPr>
          <w:fldChar w:fldCharType="begin"/>
        </w:r>
        <w:r>
          <w:rPr>
            <w:noProof/>
            <w:webHidden/>
          </w:rPr>
          <w:instrText xml:space="preserve"> PAGEREF _Toc39247071 \h </w:instrText>
        </w:r>
        <w:r>
          <w:rPr>
            <w:noProof/>
            <w:webHidden/>
          </w:rPr>
        </w:r>
        <w:r>
          <w:rPr>
            <w:noProof/>
            <w:webHidden/>
          </w:rPr>
          <w:fldChar w:fldCharType="separate"/>
        </w:r>
        <w:r>
          <w:rPr>
            <w:noProof/>
            <w:webHidden/>
          </w:rPr>
          <w:t>4-8</w:t>
        </w:r>
        <w:r>
          <w:rPr>
            <w:noProof/>
            <w:webHidden/>
          </w:rPr>
          <w:fldChar w:fldCharType="end"/>
        </w:r>
      </w:hyperlink>
    </w:p>
    <w:p w14:paraId="76B7A121" w14:textId="5431930D" w:rsidR="001502B3" w:rsidRDefault="00255877" w:rsidP="001502B3">
      <w:pPr>
        <w:pStyle w:val="TOCF"/>
      </w:pPr>
      <w:r>
        <w:fldChar w:fldCharType="end"/>
      </w:r>
    </w:p>
    <w:p w14:paraId="7DAD69B8" w14:textId="09E8CA47" w:rsidR="00A32DEB" w:rsidRDefault="001502B3" w:rsidP="001502B3">
      <w:pPr>
        <w:pStyle w:val="toccolumnheadings"/>
      </w:pPr>
      <w:r>
        <w:lastRenderedPageBreak/>
        <w:t>Table</w:t>
      </w:r>
    </w:p>
    <w:p w14:paraId="420C2F35" w14:textId="0235FAF5" w:rsidR="001077FC" w:rsidRDefault="00255877">
      <w:pPr>
        <w:pStyle w:val="TableofFigures"/>
        <w:tabs>
          <w:tab w:val="right" w:leader="dot" w:pos="899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39246961" w:history="1">
        <w:r w:rsidR="001077FC" w:rsidRPr="00720B94">
          <w:rPr>
            <w:rStyle w:val="Hyperlink"/>
            <w:noProof/>
          </w:rPr>
          <w:t>Table 5</w:t>
        </w:r>
        <w:r w:rsidR="001077FC" w:rsidRPr="00720B94">
          <w:rPr>
            <w:rStyle w:val="Hyperlink"/>
            <w:noProof/>
          </w:rPr>
          <w:noBreakHyphen/>
          <w:t>1 SBSP Managed Parameters</w:t>
        </w:r>
        <w:r w:rsidR="001077FC">
          <w:rPr>
            <w:noProof/>
            <w:webHidden/>
          </w:rPr>
          <w:tab/>
        </w:r>
        <w:r w:rsidR="001077FC">
          <w:rPr>
            <w:noProof/>
            <w:webHidden/>
          </w:rPr>
          <w:fldChar w:fldCharType="begin"/>
        </w:r>
        <w:r w:rsidR="001077FC">
          <w:rPr>
            <w:noProof/>
            <w:webHidden/>
          </w:rPr>
          <w:instrText xml:space="preserve"> PAGEREF _Toc39246961 \h </w:instrText>
        </w:r>
        <w:r w:rsidR="001077FC">
          <w:rPr>
            <w:noProof/>
            <w:webHidden/>
          </w:rPr>
        </w:r>
        <w:r w:rsidR="001077FC">
          <w:rPr>
            <w:noProof/>
            <w:webHidden/>
          </w:rPr>
          <w:fldChar w:fldCharType="separate"/>
        </w:r>
        <w:r w:rsidR="001077FC">
          <w:rPr>
            <w:noProof/>
            <w:webHidden/>
          </w:rPr>
          <w:t>5-1</w:t>
        </w:r>
        <w:r w:rsidR="001077FC">
          <w:rPr>
            <w:noProof/>
            <w:webHidden/>
          </w:rPr>
          <w:fldChar w:fldCharType="end"/>
        </w:r>
      </w:hyperlink>
    </w:p>
    <w:p w14:paraId="687BDE17" w14:textId="3E2DC41D" w:rsidR="001077FC" w:rsidRDefault="001077FC">
      <w:pPr>
        <w:pStyle w:val="TableofFigures"/>
        <w:tabs>
          <w:tab w:val="right" w:leader="dot" w:pos="8990"/>
        </w:tabs>
        <w:rPr>
          <w:rFonts w:asciiTheme="minorHAnsi" w:eastAsiaTheme="minorEastAsia" w:hAnsiTheme="minorHAnsi" w:cstheme="minorBidi"/>
          <w:noProof/>
          <w:sz w:val="22"/>
          <w:szCs w:val="22"/>
        </w:rPr>
      </w:pPr>
      <w:hyperlink w:anchor="_Toc39246962" w:history="1">
        <w:r w:rsidRPr="00720B94">
          <w:rPr>
            <w:rStyle w:val="Hyperlink"/>
            <w:noProof/>
          </w:rPr>
          <w:t>Table B</w:t>
        </w:r>
        <w:r w:rsidRPr="00720B94">
          <w:rPr>
            <w:rStyle w:val="Hyperlink"/>
            <w:noProof/>
          </w:rPr>
          <w:noBreakHyphen/>
          <w:t>1 SBSP Security Block Types</w:t>
        </w:r>
        <w:r>
          <w:rPr>
            <w:noProof/>
            <w:webHidden/>
          </w:rPr>
          <w:tab/>
        </w:r>
        <w:r>
          <w:rPr>
            <w:noProof/>
            <w:webHidden/>
          </w:rPr>
          <w:fldChar w:fldCharType="begin"/>
        </w:r>
        <w:r>
          <w:rPr>
            <w:noProof/>
            <w:webHidden/>
          </w:rPr>
          <w:instrText xml:space="preserve"> PAGEREF _Toc39246962 \h </w:instrText>
        </w:r>
        <w:r>
          <w:rPr>
            <w:noProof/>
            <w:webHidden/>
          </w:rPr>
        </w:r>
        <w:r>
          <w:rPr>
            <w:noProof/>
            <w:webHidden/>
          </w:rPr>
          <w:fldChar w:fldCharType="separate"/>
        </w:r>
        <w:r>
          <w:rPr>
            <w:noProof/>
            <w:webHidden/>
          </w:rPr>
          <w:t>B-3</w:t>
        </w:r>
        <w:r>
          <w:rPr>
            <w:noProof/>
            <w:webHidden/>
          </w:rPr>
          <w:fldChar w:fldCharType="end"/>
        </w:r>
      </w:hyperlink>
    </w:p>
    <w:p w14:paraId="73041063" w14:textId="270531B8" w:rsidR="001077FC" w:rsidRDefault="001077FC">
      <w:pPr>
        <w:pStyle w:val="TableofFigures"/>
        <w:tabs>
          <w:tab w:val="right" w:leader="dot" w:pos="8990"/>
        </w:tabs>
        <w:rPr>
          <w:rFonts w:asciiTheme="minorHAnsi" w:eastAsiaTheme="minorEastAsia" w:hAnsiTheme="minorHAnsi" w:cstheme="minorBidi"/>
          <w:noProof/>
          <w:sz w:val="22"/>
          <w:szCs w:val="22"/>
        </w:rPr>
      </w:pPr>
      <w:hyperlink w:anchor="_Toc39246963" w:history="1">
        <w:r w:rsidRPr="00720B94">
          <w:rPr>
            <w:rStyle w:val="Hyperlink"/>
            <w:noProof/>
          </w:rPr>
          <w:t>Table B</w:t>
        </w:r>
        <w:r w:rsidRPr="00720B94">
          <w:rPr>
            <w:rStyle w:val="Hyperlink"/>
            <w:noProof/>
          </w:rPr>
          <w:noBreakHyphen/>
          <w:t>2 Security Context Identifier Values</w:t>
        </w:r>
        <w:r>
          <w:rPr>
            <w:noProof/>
            <w:webHidden/>
          </w:rPr>
          <w:tab/>
        </w:r>
        <w:r>
          <w:rPr>
            <w:noProof/>
            <w:webHidden/>
          </w:rPr>
          <w:fldChar w:fldCharType="begin"/>
        </w:r>
        <w:r>
          <w:rPr>
            <w:noProof/>
            <w:webHidden/>
          </w:rPr>
          <w:instrText xml:space="preserve"> PAGEREF _Toc39246963 \h </w:instrText>
        </w:r>
        <w:r>
          <w:rPr>
            <w:noProof/>
            <w:webHidden/>
          </w:rPr>
        </w:r>
        <w:r>
          <w:rPr>
            <w:noProof/>
            <w:webHidden/>
          </w:rPr>
          <w:fldChar w:fldCharType="separate"/>
        </w:r>
        <w:r>
          <w:rPr>
            <w:noProof/>
            <w:webHidden/>
          </w:rPr>
          <w:t>B-4</w:t>
        </w:r>
        <w:r>
          <w:rPr>
            <w:noProof/>
            <w:webHidden/>
          </w:rPr>
          <w:fldChar w:fldCharType="end"/>
        </w:r>
      </w:hyperlink>
    </w:p>
    <w:p w14:paraId="7DF5A5B7" w14:textId="29DAB553" w:rsidR="001077FC" w:rsidRDefault="001077FC">
      <w:pPr>
        <w:pStyle w:val="TableofFigures"/>
        <w:tabs>
          <w:tab w:val="right" w:leader="dot" w:pos="8990"/>
        </w:tabs>
        <w:rPr>
          <w:rFonts w:asciiTheme="minorHAnsi" w:eastAsiaTheme="minorEastAsia" w:hAnsiTheme="minorHAnsi" w:cstheme="minorBidi"/>
          <w:noProof/>
          <w:sz w:val="22"/>
          <w:szCs w:val="22"/>
        </w:rPr>
      </w:pPr>
      <w:hyperlink w:anchor="_Toc39246964" w:history="1">
        <w:r w:rsidRPr="00720B94">
          <w:rPr>
            <w:rStyle w:val="Hyperlink"/>
            <w:noProof/>
          </w:rPr>
          <w:t>Table E</w:t>
        </w:r>
        <w:r w:rsidRPr="00720B94">
          <w:rPr>
            <w:rStyle w:val="Hyperlink"/>
            <w:noProof/>
          </w:rPr>
          <w:noBreakHyphen/>
          <w:t>1 Security Context Parameters and Results</w:t>
        </w:r>
        <w:r>
          <w:rPr>
            <w:noProof/>
            <w:webHidden/>
          </w:rPr>
          <w:tab/>
        </w:r>
        <w:r>
          <w:rPr>
            <w:noProof/>
            <w:webHidden/>
          </w:rPr>
          <w:fldChar w:fldCharType="begin"/>
        </w:r>
        <w:r>
          <w:rPr>
            <w:noProof/>
            <w:webHidden/>
          </w:rPr>
          <w:instrText xml:space="preserve"> PAGEREF _Toc39246964 \h </w:instrText>
        </w:r>
        <w:r>
          <w:rPr>
            <w:noProof/>
            <w:webHidden/>
          </w:rPr>
        </w:r>
        <w:r>
          <w:rPr>
            <w:noProof/>
            <w:webHidden/>
          </w:rPr>
          <w:fldChar w:fldCharType="separate"/>
        </w:r>
        <w:r>
          <w:rPr>
            <w:noProof/>
            <w:webHidden/>
          </w:rPr>
          <w:t>E-5</w:t>
        </w:r>
        <w:r>
          <w:rPr>
            <w:noProof/>
            <w:webHidden/>
          </w:rPr>
          <w:fldChar w:fldCharType="end"/>
        </w:r>
      </w:hyperlink>
    </w:p>
    <w:p w14:paraId="42A4B646" w14:textId="300A7B64" w:rsidR="00255877" w:rsidRDefault="00255877" w:rsidP="008F5F01">
      <w:r>
        <w:fldChar w:fldCharType="end"/>
      </w:r>
    </w:p>
    <w:p w14:paraId="37FDFFA6" w14:textId="6D2BAE4E" w:rsidR="00255877" w:rsidRDefault="00255877" w:rsidP="00A32DEB"/>
    <w:p w14:paraId="05FFDA49" w14:textId="77777777" w:rsidR="00A32DEB" w:rsidRDefault="00A32DEB" w:rsidP="00A32DEB">
      <w:pPr>
        <w:sectPr w:rsidR="00A32DEB" w:rsidSect="00A32DEB">
          <w:headerReference w:type="default" r:id="rId9"/>
          <w:footerReference w:type="default" r:id="rId10"/>
          <w:type w:val="continuous"/>
          <w:pgSz w:w="12240" w:h="15840"/>
          <w:pgMar w:top="1440" w:right="1440" w:bottom="1440" w:left="1440" w:header="547" w:footer="547" w:gutter="360"/>
          <w:pgNumType w:fmt="lowerRoman" w:start="1"/>
          <w:cols w:space="720"/>
          <w:docGrid w:linePitch="360"/>
        </w:sectPr>
      </w:pPr>
    </w:p>
    <w:p w14:paraId="02492568" w14:textId="77777777" w:rsidR="002432F8" w:rsidRPr="001B79CE" w:rsidRDefault="002432F8" w:rsidP="00485F2A">
      <w:pPr>
        <w:pStyle w:val="Heading1"/>
      </w:pPr>
      <w:bookmarkStart w:id="43" w:name="_Toc39246834"/>
      <w:r w:rsidRPr="00485F2A">
        <w:lastRenderedPageBreak/>
        <w:t>Introduction</w:t>
      </w:r>
      <w:bookmarkEnd w:id="43"/>
    </w:p>
    <w:p w14:paraId="4B2CB204" w14:textId="77777777" w:rsidR="002432F8" w:rsidRPr="001B79CE" w:rsidRDefault="002432F8" w:rsidP="00A209CB">
      <w:pPr>
        <w:pStyle w:val="Heading2"/>
      </w:pPr>
      <w:bookmarkStart w:id="44" w:name="_Toc39246835"/>
      <w:commentRangeStart w:id="45"/>
      <w:r w:rsidRPr="00485F2A">
        <w:t>PURPOSE</w:t>
      </w:r>
      <w:commentRangeEnd w:id="45"/>
      <w:r w:rsidRPr="00A209CB">
        <w:rPr>
          <w:rStyle w:val="CommentReference"/>
          <w:sz w:val="24"/>
          <w:szCs w:val="20"/>
        </w:rPr>
        <w:commentReference w:id="45"/>
      </w:r>
      <w:bookmarkEnd w:id="44"/>
    </w:p>
    <w:p w14:paraId="0CB615E1" w14:textId="77777777" w:rsidR="002432F8" w:rsidRDefault="002432F8" w:rsidP="002432F8"/>
    <w:p w14:paraId="40721BB9" w14:textId="0C9B73C1" w:rsidR="002432F8" w:rsidRDefault="002432F8" w:rsidP="002432F8">
      <w:pPr>
        <w:jc w:val="both"/>
      </w:pPr>
      <w:r w:rsidRPr="00A96546">
        <w:t xml:space="preserve">The purpose of this Recommended Standard is to specify </w:t>
      </w:r>
      <w:r>
        <w:t xml:space="preserve">a </w:t>
      </w:r>
      <w:r w:rsidRPr="00A96546">
        <w:t xml:space="preserve">Streamlined Bundle Security Protocol </w:t>
      </w:r>
      <w:r>
        <w:t xml:space="preserve">(SBSP) providing the minimal security service necessary to secure CCSDS Bundle Protocol (reference [1]) transactions across a Delay-Tolerant Network (DTN). </w:t>
      </w:r>
      <w:r w:rsidRPr="000F4F8B">
        <w:t>Th</w:t>
      </w:r>
      <w:r>
        <w:t xml:space="preserve">e SBSP </w:t>
      </w:r>
      <w:r w:rsidRPr="000F4F8B">
        <w:t xml:space="preserve">provides </w:t>
      </w:r>
      <w:r w:rsidR="00E07034">
        <w:t xml:space="preserve">BP </w:t>
      </w:r>
      <w:r w:rsidRPr="000F4F8B">
        <w:t>extension blocks</w:t>
      </w:r>
      <w:r>
        <w:t>, and associated procedures,</w:t>
      </w:r>
      <w:r w:rsidRPr="000F4F8B">
        <w:t xml:space="preserve"> </w:t>
      </w:r>
      <w:r>
        <w:t xml:space="preserve">that may be added to a BP bundle. These </w:t>
      </w:r>
      <w:r w:rsidR="00991D48">
        <w:t xml:space="preserve">extension </w:t>
      </w:r>
      <w:r>
        <w:t>blocks provide a</w:t>
      </w:r>
      <w:r w:rsidRPr="000F4F8B">
        <w:t xml:space="preserve"> structured method for applying data </w:t>
      </w:r>
      <w:r>
        <w:t>integrity</w:t>
      </w:r>
      <w:r w:rsidRPr="000F4F8B">
        <w:t xml:space="preserve"> and/or data confidentiality to </w:t>
      </w:r>
      <w:r>
        <w:t>non-SBSP blocks within a bundle</w:t>
      </w:r>
      <w:r w:rsidRPr="000F4F8B">
        <w:t>.</w:t>
      </w:r>
    </w:p>
    <w:p w14:paraId="749E70E1" w14:textId="77777777" w:rsidR="002432F8" w:rsidRPr="000F4F8B" w:rsidRDefault="002432F8" w:rsidP="002432F8">
      <w:pPr>
        <w:jc w:val="both"/>
      </w:pPr>
    </w:p>
    <w:p w14:paraId="7D5D5E6C" w14:textId="77777777" w:rsidR="002432F8" w:rsidRPr="00A96546" w:rsidRDefault="002432F8" w:rsidP="00A209CB">
      <w:pPr>
        <w:pStyle w:val="Heading2"/>
      </w:pPr>
      <w:bookmarkStart w:id="46" w:name="_Toc39246836"/>
      <w:commentRangeStart w:id="47"/>
      <w:r w:rsidRPr="00485F2A">
        <w:t>SCOPE</w:t>
      </w:r>
      <w:commentRangeEnd w:id="47"/>
      <w:r w:rsidRPr="00A209CB">
        <w:rPr>
          <w:rStyle w:val="CommentReference"/>
          <w:sz w:val="24"/>
          <w:szCs w:val="20"/>
        </w:rPr>
        <w:commentReference w:id="47"/>
      </w:r>
      <w:bookmarkEnd w:id="46"/>
    </w:p>
    <w:p w14:paraId="01FC4AA7" w14:textId="46AA6B33" w:rsidR="002432F8" w:rsidRDefault="002432F8" w:rsidP="002432F8">
      <w:r>
        <w:t xml:space="preserve">This Recommended Standard defines the </w:t>
      </w:r>
      <w:r w:rsidR="00E07034">
        <w:t>SBSP</w:t>
      </w:r>
      <w:r>
        <w:t xml:space="preserve"> in terms of:</w:t>
      </w:r>
    </w:p>
    <w:p w14:paraId="46C88E0F" w14:textId="77777777" w:rsidR="002432F8" w:rsidRDefault="002432F8" w:rsidP="002432F8">
      <w:pPr>
        <w:ind w:left="720" w:hanging="360"/>
      </w:pPr>
      <w:r>
        <w:t>a)</w:t>
      </w:r>
      <w:r>
        <w:tab/>
      </w:r>
      <w:proofErr w:type="gramStart"/>
      <w:r>
        <w:t>the</w:t>
      </w:r>
      <w:proofErr w:type="gramEnd"/>
      <w:r>
        <w:t xml:space="preserve"> protocol data units employed by the service provider; and</w:t>
      </w:r>
    </w:p>
    <w:p w14:paraId="16FEA16F" w14:textId="77777777" w:rsidR="002432F8" w:rsidRDefault="002432F8" w:rsidP="002432F8">
      <w:pPr>
        <w:ind w:left="720" w:hanging="360"/>
      </w:pPr>
      <w:r>
        <w:t>b)</w:t>
      </w:r>
      <w:r>
        <w:tab/>
      </w:r>
      <w:proofErr w:type="gramStart"/>
      <w:r>
        <w:t>the</w:t>
      </w:r>
      <w:proofErr w:type="gramEnd"/>
      <w:r>
        <w:t xml:space="preserve"> procedures performed by the service provider.</w:t>
      </w:r>
    </w:p>
    <w:p w14:paraId="4183CA7C" w14:textId="77777777" w:rsidR="002432F8" w:rsidRDefault="002432F8" w:rsidP="002432F8">
      <w:pPr>
        <w:ind w:left="720" w:hanging="360"/>
      </w:pPr>
    </w:p>
    <w:p w14:paraId="77FBC27F" w14:textId="77777777" w:rsidR="002432F8" w:rsidRDefault="002432F8" w:rsidP="002432F8">
      <w:r>
        <w:t>It does not specify:</w:t>
      </w:r>
    </w:p>
    <w:p w14:paraId="10617EF8" w14:textId="77777777" w:rsidR="002432F8" w:rsidRDefault="002432F8" w:rsidP="002432F8">
      <w:pPr>
        <w:ind w:left="720" w:hanging="360"/>
      </w:pPr>
      <w:r>
        <w:t>a)</w:t>
      </w:r>
      <w:r>
        <w:tab/>
      </w:r>
      <w:proofErr w:type="gramStart"/>
      <w:r>
        <w:t>individual</w:t>
      </w:r>
      <w:proofErr w:type="gramEnd"/>
      <w:r>
        <w:t xml:space="preserve"> implementations or products;</w:t>
      </w:r>
    </w:p>
    <w:p w14:paraId="0750BB40" w14:textId="77777777" w:rsidR="002432F8" w:rsidRDefault="002432F8" w:rsidP="002432F8">
      <w:pPr>
        <w:ind w:left="720" w:hanging="360"/>
      </w:pPr>
      <w:r>
        <w:t>b)</w:t>
      </w:r>
      <w:r>
        <w:tab/>
      </w:r>
      <w:proofErr w:type="gramStart"/>
      <w:r>
        <w:t>the</w:t>
      </w:r>
      <w:proofErr w:type="gramEnd"/>
      <w:r>
        <w:t xml:space="preserve"> implementation of service interfaces within real systems;</w:t>
      </w:r>
    </w:p>
    <w:p w14:paraId="3F2C40D8" w14:textId="77777777" w:rsidR="002432F8" w:rsidRDefault="002432F8" w:rsidP="002432F8">
      <w:pPr>
        <w:ind w:left="720" w:hanging="360"/>
      </w:pPr>
      <w:r>
        <w:t>c)</w:t>
      </w:r>
      <w:r>
        <w:tab/>
      </w:r>
      <w:proofErr w:type="gramStart"/>
      <w:r>
        <w:t>the</w:t>
      </w:r>
      <w:proofErr w:type="gramEnd"/>
      <w:r>
        <w:t xml:space="preserve"> methods or technologies required to perform the procedures; or</w:t>
      </w:r>
    </w:p>
    <w:p w14:paraId="1FC079F5" w14:textId="77777777" w:rsidR="002432F8" w:rsidRDefault="002432F8" w:rsidP="002432F8">
      <w:pPr>
        <w:ind w:left="720" w:hanging="360"/>
      </w:pPr>
      <w:r>
        <w:t>d)</w:t>
      </w:r>
      <w:r>
        <w:tab/>
      </w:r>
      <w:proofErr w:type="gramStart"/>
      <w:r>
        <w:t>the</w:t>
      </w:r>
      <w:proofErr w:type="gramEnd"/>
      <w:r>
        <w:t xml:space="preserve"> management activities required to configure and control the service.</w:t>
      </w:r>
    </w:p>
    <w:p w14:paraId="36137D87" w14:textId="77777777" w:rsidR="002432F8" w:rsidRDefault="002432F8" w:rsidP="002432F8"/>
    <w:p w14:paraId="24C36F7F" w14:textId="77777777" w:rsidR="002432F8" w:rsidRDefault="002432F8" w:rsidP="002432F8">
      <w:pPr>
        <w:jc w:val="both"/>
      </w:pPr>
      <w:r>
        <w:t xml:space="preserve">This Recommended Standard does not mandate the operational use of any particular cryptographic algorithm with the SBSP. Reference </w:t>
      </w:r>
      <w:r w:rsidRPr="00F0778C">
        <w:t>[</w:t>
      </w:r>
      <w:r w:rsidRPr="00DA7C4E">
        <w:t>2</w:t>
      </w:r>
      <w:r>
        <w:t xml:space="preserve">] provides a listing of algorithms recommended by CCSDS; any organization should conduct a risk assessment before choosing to substitute other algorithms. Annex </w:t>
      </w:r>
      <w:r w:rsidRPr="00465D15">
        <w:t>E</w:t>
      </w:r>
      <w:r>
        <w:t xml:space="preserve"> (non-normative) defines baseline implementations suitable for a large range of space missions.</w:t>
      </w:r>
    </w:p>
    <w:p w14:paraId="7899319A" w14:textId="77777777" w:rsidR="002432F8" w:rsidRDefault="002432F8" w:rsidP="002432F8"/>
    <w:p w14:paraId="2810D250" w14:textId="77777777" w:rsidR="002432F8" w:rsidRDefault="002432F8" w:rsidP="002432F8">
      <w:r>
        <w:t>The protocol specified here applies only to the CCSDS Bundle Protocol and does not interact with other CCSDS protocols.</w:t>
      </w:r>
    </w:p>
    <w:p w14:paraId="28611A29" w14:textId="77777777" w:rsidR="002432F8" w:rsidRDefault="002432F8" w:rsidP="002432F8"/>
    <w:p w14:paraId="30355B3B" w14:textId="77777777" w:rsidR="002432F8" w:rsidRDefault="002432F8" w:rsidP="002432F8">
      <w:pPr>
        <w:pStyle w:val="Heading2"/>
        <w:numPr>
          <w:ilvl w:val="1"/>
          <w:numId w:val="1"/>
        </w:numPr>
      </w:pPr>
      <w:bookmarkStart w:id="48" w:name="_Toc39246837"/>
      <w:r>
        <w:t>Applicability</w:t>
      </w:r>
      <w:bookmarkEnd w:id="48"/>
    </w:p>
    <w:p w14:paraId="09F9B317" w14:textId="77777777" w:rsidR="002432F8" w:rsidRPr="00C302A7" w:rsidRDefault="002432F8" w:rsidP="002432F8"/>
    <w:p w14:paraId="5A16E8FE" w14:textId="77777777" w:rsidR="00E07034" w:rsidRDefault="002432F8" w:rsidP="002432F8">
      <w:pPr>
        <w:jc w:val="both"/>
      </w:pPr>
      <w:r>
        <w:t xml:space="preserve">This Recommended Standard applies to the creation of Agency standards and for secure data communications over space networks between CCSDS Agencies in cross-support situations. </w:t>
      </w:r>
    </w:p>
    <w:p w14:paraId="6517B92D" w14:textId="77777777" w:rsidR="00E07034" w:rsidRDefault="00E07034" w:rsidP="002432F8">
      <w:pPr>
        <w:jc w:val="both"/>
      </w:pPr>
    </w:p>
    <w:p w14:paraId="4B5825DD" w14:textId="0C0CE4D1" w:rsidR="002432F8" w:rsidRDefault="002432F8" w:rsidP="002432F8">
      <w:pPr>
        <w:jc w:val="both"/>
      </w:pPr>
      <w:r>
        <w:t>The Recommended Standard includes comprehensive specification of the service for inter-Agency cross</w:t>
      </w:r>
      <w:r w:rsidR="00E07034">
        <w:t>-</w:t>
      </w:r>
      <w:r>
        <w:t>support. It is neither a specification of, nor a design for, real systems that may be implemented for existing or future missions.</w:t>
      </w:r>
    </w:p>
    <w:p w14:paraId="0FB16515" w14:textId="77777777" w:rsidR="002432F8" w:rsidRDefault="002432F8" w:rsidP="002432F8"/>
    <w:p w14:paraId="237F8948" w14:textId="3D5FD5E6" w:rsidR="002432F8" w:rsidRDefault="002432F8" w:rsidP="002432F8">
      <w:pPr>
        <w:jc w:val="both"/>
      </w:pPr>
      <w:r>
        <w:t>The Recommended Standard specified in this document is to be invoked through the normal standards programs of each CCSDS Agency, and is applicable to those missions for w</w:t>
      </w:r>
      <w:r w:rsidR="00E07034">
        <w:t>hich interoperability and cross-</w:t>
      </w:r>
      <w:r>
        <w:t xml:space="preserve">support based on capabilities described in this Recommended Standard is anticipated. Where mandatory capabilities are clearly indicated in sections of the Recommended Standard, they must be implemented when this document is used as a basis for </w:t>
      </w:r>
      <w:r w:rsidR="00E07034">
        <w:lastRenderedPageBreak/>
        <w:t>interoperability and cross-</w:t>
      </w:r>
      <w:r>
        <w:t>support. Where options are allowed or implied, implementation of these options is subj</w:t>
      </w:r>
      <w:r w:rsidR="00E07034">
        <w:t>ect to specific bilateral cross-</w:t>
      </w:r>
      <w:r>
        <w:t>support agreements between the Agencies involved.</w:t>
      </w:r>
    </w:p>
    <w:p w14:paraId="6EC260E7" w14:textId="4571D890" w:rsidR="002432F8" w:rsidRDefault="002432F8" w:rsidP="002432F8">
      <w:pPr>
        <w:pStyle w:val="Notelevel1"/>
      </w:pPr>
      <w:r>
        <w:t>NOTE</w:t>
      </w:r>
      <w:r>
        <w:tab/>
      </w:r>
      <w:r w:rsidRPr="00952F7B">
        <w:t>–</w:t>
      </w:r>
      <w:r w:rsidR="00E07034">
        <w:tab/>
        <w:t>The SBSP</w:t>
      </w:r>
      <w:r>
        <w:t xml:space="preserve"> adds extension blocks into a BP bundle. BP </w:t>
      </w:r>
      <w:r w:rsidR="00E07034">
        <w:t>A</w:t>
      </w:r>
      <w:r>
        <w:t xml:space="preserve">gents that implement the SBSP may process these </w:t>
      </w:r>
      <w:r w:rsidR="00B24652">
        <w:t xml:space="preserve">extension </w:t>
      </w:r>
      <w:r>
        <w:t xml:space="preserve">blocks in accordance with this Recommended Standard. BP agents that do not implement the SBSP may process these extension blocks as generic blocks in accordance with (reference [1]). </w:t>
      </w:r>
    </w:p>
    <w:p w14:paraId="09D5BB86" w14:textId="77777777" w:rsidR="002D1A68" w:rsidRDefault="002D1A68" w:rsidP="002432F8">
      <w:pPr>
        <w:jc w:val="both"/>
      </w:pPr>
    </w:p>
    <w:p w14:paraId="5D5C97CF" w14:textId="77777777" w:rsidR="002432F8" w:rsidRDefault="002432F8" w:rsidP="002432F8">
      <w:pPr>
        <w:pStyle w:val="Heading2"/>
        <w:numPr>
          <w:ilvl w:val="1"/>
          <w:numId w:val="1"/>
        </w:numPr>
      </w:pPr>
      <w:bookmarkStart w:id="49" w:name="_Toc39246838"/>
      <w:r>
        <w:t>Rationale</w:t>
      </w:r>
      <w:bookmarkEnd w:id="49"/>
    </w:p>
    <w:p w14:paraId="4438D3AA" w14:textId="77777777" w:rsidR="002432F8" w:rsidRPr="00C302A7" w:rsidRDefault="002432F8" w:rsidP="002432F8"/>
    <w:p w14:paraId="531CF713" w14:textId="77777777" w:rsidR="002432F8" w:rsidRDefault="002432F8" w:rsidP="002432F8">
      <w:r>
        <w:t>The goals of this Recommended Standard are to:</w:t>
      </w:r>
    </w:p>
    <w:p w14:paraId="193F7756" w14:textId="77777777" w:rsidR="002432F8" w:rsidRDefault="002432F8" w:rsidP="00C818EF">
      <w:pPr>
        <w:pStyle w:val="ListParagraph"/>
        <w:numPr>
          <w:ilvl w:val="0"/>
          <w:numId w:val="14"/>
        </w:numPr>
        <w:pPrChange w:id="50" w:author="Birrane, Edward J." w:date="2020-05-01T17:51:00Z">
          <w:pPr>
            <w:pStyle w:val="ListParagraph"/>
            <w:numPr>
              <w:numId w:val="63"/>
            </w:numPr>
            <w:tabs>
              <w:tab w:val="num" w:pos="360"/>
            </w:tabs>
          </w:pPr>
        </w:pPrChange>
      </w:pPr>
      <w:r>
        <w:t xml:space="preserve">provide a standard method of applying block-specific security for </w:t>
      </w:r>
      <w:r w:rsidRPr="00115A8C">
        <w:t>bundle</w:t>
      </w:r>
      <w:r>
        <w:t xml:space="preserve"> </w:t>
      </w:r>
      <w:r w:rsidRPr="00115A8C">
        <w:t>transport</w:t>
      </w:r>
      <w:r>
        <w:t>, independent of the underlying cryptographic algorithms employed by any particular space mission;</w:t>
      </w:r>
    </w:p>
    <w:p w14:paraId="32D1D325" w14:textId="77777777" w:rsidR="002432F8" w:rsidRDefault="002432F8" w:rsidP="002432F8">
      <w:pPr>
        <w:pStyle w:val="ListParagraph"/>
      </w:pPr>
    </w:p>
    <w:p w14:paraId="369DEF0F" w14:textId="7D1AA092" w:rsidR="002432F8" w:rsidRDefault="002432F8" w:rsidP="00C818EF">
      <w:pPr>
        <w:pStyle w:val="ListParagraph"/>
        <w:numPr>
          <w:ilvl w:val="0"/>
          <w:numId w:val="14"/>
        </w:numPr>
        <w:pPrChange w:id="51" w:author="Birrane, Edward J." w:date="2020-05-01T17:51:00Z">
          <w:pPr>
            <w:pStyle w:val="ListParagraph"/>
            <w:numPr>
              <w:numId w:val="63"/>
            </w:numPr>
            <w:tabs>
              <w:tab w:val="num" w:pos="360"/>
            </w:tabs>
          </w:pPr>
        </w:pPrChange>
      </w:pPr>
      <w:r>
        <w:t xml:space="preserve">preserve compatibility with existing CCSDS </w:t>
      </w:r>
      <w:r w:rsidR="00E07034">
        <w:t>BP</w:t>
      </w:r>
      <w:r>
        <w:t xml:space="preserve"> version 6 formats so that, where appropriate, legacy bundle processing infrastructure may continue to be used without modification; and</w:t>
      </w:r>
    </w:p>
    <w:p w14:paraId="63E8EA43" w14:textId="77777777" w:rsidR="002432F8" w:rsidRDefault="002432F8" w:rsidP="002432F8">
      <w:pPr>
        <w:pStyle w:val="ListParagraph"/>
      </w:pPr>
    </w:p>
    <w:p w14:paraId="7970080B" w14:textId="77777777" w:rsidR="002432F8" w:rsidRDefault="002432F8" w:rsidP="00C818EF">
      <w:pPr>
        <w:pStyle w:val="ListParagraph"/>
        <w:numPr>
          <w:ilvl w:val="0"/>
          <w:numId w:val="14"/>
        </w:numPr>
        <w:pPrChange w:id="52" w:author="Birrane, Edward J." w:date="2020-05-01T17:51:00Z">
          <w:pPr>
            <w:pStyle w:val="ListParagraph"/>
            <w:numPr>
              <w:numId w:val="63"/>
            </w:numPr>
            <w:tabs>
              <w:tab w:val="num" w:pos="360"/>
            </w:tabs>
          </w:pPr>
        </w:pPrChange>
      </w:pPr>
      <w:proofErr w:type="gramStart"/>
      <w:r>
        <w:t>facilitate</w:t>
      </w:r>
      <w:proofErr w:type="gramEnd"/>
      <w:r>
        <w:t xml:space="preserve"> the development of common commercial implementations to improve interoperability across agencies.</w:t>
      </w:r>
    </w:p>
    <w:p w14:paraId="59F189ED" w14:textId="77777777" w:rsidR="002432F8" w:rsidRDefault="002432F8" w:rsidP="002432F8"/>
    <w:p w14:paraId="0794D2D3" w14:textId="77777777" w:rsidR="002432F8" w:rsidRPr="00A96546" w:rsidRDefault="002432F8" w:rsidP="002432F8">
      <w:pPr>
        <w:pStyle w:val="Heading2"/>
        <w:numPr>
          <w:ilvl w:val="1"/>
          <w:numId w:val="1"/>
        </w:numPr>
      </w:pPr>
      <w:bookmarkStart w:id="53" w:name="_Toc39246839"/>
      <w:r w:rsidRPr="00A96546">
        <w:t>ORGANIZATION OF THIS RECOMMENDED STANDARD</w:t>
      </w:r>
      <w:bookmarkEnd w:id="53"/>
    </w:p>
    <w:p w14:paraId="736897B4" w14:textId="77777777" w:rsidR="002432F8" w:rsidRDefault="002432F8" w:rsidP="002432F8"/>
    <w:p w14:paraId="0E90D74B" w14:textId="77777777" w:rsidR="002432F8" w:rsidRDefault="002432F8" w:rsidP="002432F8">
      <w:r w:rsidRPr="001B79CE">
        <w:t>This Recommended Standard is organized as follows:</w:t>
      </w:r>
    </w:p>
    <w:p w14:paraId="65A0184F" w14:textId="77777777" w:rsidR="002432F8" w:rsidRDefault="002432F8" w:rsidP="002432F8"/>
    <w:p w14:paraId="49D17427" w14:textId="77777777" w:rsidR="002432F8" w:rsidRDefault="002432F8" w:rsidP="002432F8">
      <w:r>
        <w:t>Section 1 presents the purpose, scope, applicability, and rationale of this Recommended Standard and lists the conventions, definitions, and references used throughout the document.</w:t>
      </w:r>
    </w:p>
    <w:p w14:paraId="0361D3C3" w14:textId="77777777" w:rsidR="002432F8" w:rsidRDefault="002432F8" w:rsidP="002432F8"/>
    <w:p w14:paraId="5B05A047" w14:textId="77777777" w:rsidR="002432F8" w:rsidRDefault="002432F8" w:rsidP="002432F8">
      <w:r>
        <w:t>Section 2 (informative) provides an overview of the SBSP.</w:t>
      </w:r>
    </w:p>
    <w:p w14:paraId="01E2A5BA" w14:textId="77777777" w:rsidR="002432F8" w:rsidRDefault="002432F8" w:rsidP="002432F8"/>
    <w:p w14:paraId="6EFC938E" w14:textId="77777777" w:rsidR="002432F8" w:rsidRDefault="002432F8" w:rsidP="002432F8">
      <w:r>
        <w:t>Section 3 (normative) defines the services provided by the protocol entity.</w:t>
      </w:r>
    </w:p>
    <w:p w14:paraId="6AB59743" w14:textId="77777777" w:rsidR="002432F8" w:rsidRDefault="002432F8" w:rsidP="002432F8"/>
    <w:p w14:paraId="5378CCAA" w14:textId="77777777" w:rsidR="002432F8" w:rsidRDefault="002432F8" w:rsidP="002432F8">
      <w:r>
        <w:t>Section 4 (normative) specifies the protocol data units provided for these services and the procedures employed by the service provider.</w:t>
      </w:r>
    </w:p>
    <w:p w14:paraId="5C50821A" w14:textId="77777777" w:rsidR="002432F8" w:rsidRDefault="002432F8" w:rsidP="002432F8"/>
    <w:p w14:paraId="179C1250" w14:textId="77777777" w:rsidR="002432F8" w:rsidRDefault="002432F8" w:rsidP="002432F8">
      <w:r>
        <w:t>Section 5 (normative) specifies the constraints associated with SBSP services.</w:t>
      </w:r>
    </w:p>
    <w:p w14:paraId="59774BFF" w14:textId="77777777" w:rsidR="002432F8" w:rsidRDefault="002432F8" w:rsidP="002432F8"/>
    <w:p w14:paraId="50AB53AC" w14:textId="77777777" w:rsidR="002432F8" w:rsidRDefault="002432F8" w:rsidP="002432F8">
      <w:r>
        <w:t>Section 6 (normative) lists the managed parameters associated with these services</w:t>
      </w:r>
    </w:p>
    <w:p w14:paraId="57B5C5C0" w14:textId="77777777" w:rsidR="002432F8" w:rsidRDefault="002432F8" w:rsidP="002432F8"/>
    <w:p w14:paraId="73702F8A" w14:textId="77777777" w:rsidR="002432F8" w:rsidRDefault="002432F8" w:rsidP="002432F8">
      <w:r>
        <w:t>Section 7 (normative) specifies how to verify an implementation’s conformance with the SBSP.</w:t>
      </w:r>
    </w:p>
    <w:p w14:paraId="31DCA457" w14:textId="77777777" w:rsidR="002432F8" w:rsidRDefault="002432F8" w:rsidP="002432F8"/>
    <w:p w14:paraId="789963F6" w14:textId="77777777" w:rsidR="002432F8" w:rsidRDefault="002432F8" w:rsidP="002432F8">
      <w:r>
        <w:lastRenderedPageBreak/>
        <w:t xml:space="preserve">Annex A (normative) provides a Protocol Implementation Conformance Statement (PICS) </w:t>
      </w:r>
      <w:proofErr w:type="spellStart"/>
      <w:r>
        <w:t>proforma</w:t>
      </w:r>
      <w:proofErr w:type="spellEnd"/>
      <w:r>
        <w:t xml:space="preserve"> for the SBSP.</w:t>
      </w:r>
    </w:p>
    <w:p w14:paraId="2F9CC3B6" w14:textId="77777777" w:rsidR="002432F8" w:rsidRDefault="002432F8" w:rsidP="002432F8"/>
    <w:p w14:paraId="2C0CF3F6" w14:textId="77777777" w:rsidR="002432F8" w:rsidRDefault="002432F8" w:rsidP="002432F8">
      <w:r>
        <w:t>Annex B (informative) provides an overview of security, SANA registry, and patent considerations related to this Recommended Standard</w:t>
      </w:r>
    </w:p>
    <w:p w14:paraId="07F7EBDA" w14:textId="77777777" w:rsidR="002432F8" w:rsidRDefault="002432F8" w:rsidP="002432F8"/>
    <w:p w14:paraId="4D1FC89C" w14:textId="77777777" w:rsidR="002432F8" w:rsidRDefault="002432F8" w:rsidP="002432F8">
      <w:r>
        <w:t>Annex C (informative) provides a glossary of abbreviations and acronyms that appear in the document.</w:t>
      </w:r>
    </w:p>
    <w:p w14:paraId="575FEE46" w14:textId="77777777" w:rsidR="002432F8" w:rsidRDefault="002432F8" w:rsidP="002432F8"/>
    <w:p w14:paraId="1644D8F6" w14:textId="77777777" w:rsidR="002432F8" w:rsidRDefault="002432F8" w:rsidP="002432F8">
      <w:r>
        <w:t>Annex D (informative) provides a list of informative references.</w:t>
      </w:r>
    </w:p>
    <w:p w14:paraId="6A440D90" w14:textId="77777777" w:rsidR="002432F8" w:rsidRDefault="002432F8" w:rsidP="002432F8"/>
    <w:p w14:paraId="4FC92FFE" w14:textId="77777777" w:rsidR="002432F8" w:rsidRDefault="002432F8" w:rsidP="002432F8">
      <w:r>
        <w:t>Annex E (informative) defines baseline implementations suitable for a large range of space missions.</w:t>
      </w:r>
    </w:p>
    <w:p w14:paraId="74430594" w14:textId="77777777" w:rsidR="002432F8" w:rsidRDefault="002432F8" w:rsidP="002432F8">
      <w:pPr>
        <w:pStyle w:val="Heading2"/>
        <w:numPr>
          <w:ilvl w:val="1"/>
          <w:numId w:val="1"/>
        </w:numPr>
        <w:spacing w:before="480"/>
      </w:pPr>
      <w:bookmarkStart w:id="54" w:name="_Toc39246840"/>
      <w:r>
        <w:t>Definitions</w:t>
      </w:r>
      <w:bookmarkEnd w:id="54"/>
    </w:p>
    <w:p w14:paraId="4A39E498" w14:textId="77777777" w:rsidR="002432F8" w:rsidRDefault="002432F8" w:rsidP="002432F8"/>
    <w:p w14:paraId="2A036F5D" w14:textId="0961B909" w:rsidR="002432F8" w:rsidRPr="00952F7B" w:rsidRDefault="002432F8" w:rsidP="002432F8">
      <w:r w:rsidRPr="00952F7B">
        <w:t>For the purposes of this document, the following definitions apply. For additional terms and definitions of some of the terms reference by these definitions, see [4, 5</w:t>
      </w:r>
      <w:r w:rsidR="008E0A85">
        <w:t xml:space="preserve">, </w:t>
      </w:r>
      <w:proofErr w:type="gramStart"/>
      <w:r w:rsidR="008B537B">
        <w:t>8</w:t>
      </w:r>
      <w:proofErr w:type="gramEnd"/>
      <w:r w:rsidRPr="00952F7B">
        <w:t>].</w:t>
      </w:r>
    </w:p>
    <w:p w14:paraId="444118F6" w14:textId="77777777" w:rsidR="002432F8" w:rsidRDefault="002432F8" w:rsidP="002432F8"/>
    <w:p w14:paraId="10676D7C" w14:textId="77777777" w:rsidR="002432F8" w:rsidRPr="00290DB3" w:rsidRDefault="002432F8" w:rsidP="002432F8">
      <w:pPr>
        <w:tabs>
          <w:tab w:val="left" w:pos="810"/>
        </w:tabs>
        <w:ind w:left="1170" w:hanging="1170"/>
      </w:pPr>
      <w:r>
        <w:t xml:space="preserve">NOTE </w:t>
      </w:r>
      <w:r>
        <w:tab/>
        <w:t>–   Generic definitions are presented in this section only if they have been augmented with an SBSP-specific definition.</w:t>
      </w:r>
    </w:p>
    <w:p w14:paraId="6ADFF8E6" w14:textId="77777777" w:rsidR="002432F8" w:rsidRPr="00CD4736" w:rsidRDefault="002432F8" w:rsidP="002432F8"/>
    <w:p w14:paraId="77D14F88" w14:textId="30737F7B" w:rsidR="005A31AB" w:rsidRDefault="005A31AB" w:rsidP="002432F8">
      <w:pPr>
        <w:jc w:val="both"/>
      </w:pPr>
      <w:r>
        <w:rPr>
          <w:b/>
        </w:rPr>
        <w:t>Block source</w:t>
      </w:r>
      <w:r>
        <w:t>: The BPA that adds a block to a bundle. The block source of the primary block and the payload block are always considered to be the bundle source.</w:t>
      </w:r>
    </w:p>
    <w:p w14:paraId="72704DDB" w14:textId="77777777" w:rsidR="005A31AB" w:rsidRDefault="005A31AB" w:rsidP="002432F8">
      <w:pPr>
        <w:jc w:val="both"/>
        <w:rPr>
          <w:b/>
        </w:rPr>
      </w:pPr>
    </w:p>
    <w:p w14:paraId="2D5C7B01" w14:textId="3BCA23A0" w:rsidR="002432F8" w:rsidRPr="00290DB3" w:rsidRDefault="002432F8" w:rsidP="002432F8">
      <w:pPr>
        <w:jc w:val="both"/>
      </w:pPr>
      <w:r>
        <w:rPr>
          <w:b/>
        </w:rPr>
        <w:t>Cipher suite</w:t>
      </w:r>
      <w:r>
        <w:t xml:space="preserve">: </w:t>
      </w:r>
      <w:r w:rsidRPr="00FA4BDC">
        <w:t xml:space="preserve">a set of one or more algorithms providing </w:t>
      </w:r>
      <w:r w:rsidRPr="00290DB3">
        <w:t>integrity and/or confidentiality services.  Cipher suites may define user parameters (e.g. secret keys to use) but do not provide values for those parameters.</w:t>
      </w:r>
      <w:r w:rsidR="00592E1D">
        <w:t xml:space="preserve"> Additionally, cipher suites do not codify session information and context that may be required when operating in a DTN.</w:t>
      </w:r>
    </w:p>
    <w:p w14:paraId="4FE79B1F" w14:textId="77777777" w:rsidR="002432F8" w:rsidRPr="00290DB3" w:rsidRDefault="002432F8" w:rsidP="002432F8"/>
    <w:p w14:paraId="0336D23A" w14:textId="77777777" w:rsidR="002432F8" w:rsidRDefault="002432F8" w:rsidP="002432F8">
      <w:pPr>
        <w:jc w:val="both"/>
      </w:pPr>
      <w:r>
        <w:rPr>
          <w:b/>
        </w:rPr>
        <w:t>Cipher suite result:</w:t>
      </w:r>
      <w:r>
        <w:t xml:space="preserve"> The set of o</w:t>
      </w:r>
      <w:r w:rsidRPr="00DA7C4E">
        <w:t>utput</w:t>
      </w:r>
      <w:r>
        <w:t>s</w:t>
      </w:r>
      <w:r w:rsidRPr="00DA7C4E">
        <w:t xml:space="preserve"> </w:t>
      </w:r>
      <w:r>
        <w:t xml:space="preserve">generated from one or more algorithms in a specific </w:t>
      </w:r>
      <w:r w:rsidRPr="00DA7C4E">
        <w:t xml:space="preserve">cipher suite </w:t>
      </w:r>
      <w:r>
        <w:t xml:space="preserve">as part of applying, verifying, or removing an integrity or confidentiality service.  </w:t>
      </w:r>
    </w:p>
    <w:p w14:paraId="692BA601" w14:textId="77777777" w:rsidR="002432F8" w:rsidRPr="00DA7C4E" w:rsidRDefault="002432F8" w:rsidP="002432F8"/>
    <w:p w14:paraId="4A8C5147" w14:textId="77777777" w:rsidR="002432F8" w:rsidRDefault="002432F8" w:rsidP="002432F8">
      <w:pPr>
        <w:jc w:val="both"/>
      </w:pPr>
      <w:r>
        <w:rPr>
          <w:b/>
        </w:rPr>
        <w:t>Plain text:</w:t>
      </w:r>
      <w:r w:rsidRPr="00290DB3">
        <w:t xml:space="preserve"> </w:t>
      </w:r>
      <w:r>
        <w:t xml:space="preserve">Data that is input to an encryption or integrity algorithm existing in a cipher suite; the block-type-specific contents of a target block prior to the application of a confidentiality service. </w:t>
      </w:r>
    </w:p>
    <w:p w14:paraId="0416E444" w14:textId="77777777" w:rsidR="002432F8" w:rsidRDefault="002432F8" w:rsidP="002432F8"/>
    <w:p w14:paraId="7D3FC583" w14:textId="210C5DA7" w:rsidR="002432F8" w:rsidRDefault="002432F8" w:rsidP="00465D15">
      <w:pPr>
        <w:ind w:left="900" w:hanging="900"/>
        <w:jc w:val="both"/>
      </w:pPr>
      <w:r>
        <w:t xml:space="preserve">NOTE – Plain text is not a synonym for clear text. Clear text refers to user data that has never been encrypted, whereas plain text may refer either to clear text or to data which has been encrypted </w:t>
      </w:r>
      <w:r w:rsidR="00771F8F">
        <w:t xml:space="preserve">by an application </w:t>
      </w:r>
      <w:r>
        <w:t>prior to its inclusion in a BP block.</w:t>
      </w:r>
    </w:p>
    <w:p w14:paraId="1289375E" w14:textId="77777777" w:rsidR="002432F8" w:rsidRDefault="002432F8" w:rsidP="002432F8"/>
    <w:p w14:paraId="351DBF88" w14:textId="04CE9C58" w:rsidR="002432F8" w:rsidRDefault="002432F8" w:rsidP="002432F8">
      <w:pPr>
        <w:jc w:val="both"/>
      </w:pPr>
      <w:r w:rsidRPr="00DA7C4E">
        <w:rPr>
          <w:b/>
        </w:rPr>
        <w:t xml:space="preserve">Cipher </w:t>
      </w:r>
      <w:r>
        <w:rPr>
          <w:b/>
        </w:rPr>
        <w:t>t</w:t>
      </w:r>
      <w:r w:rsidRPr="00DA7C4E">
        <w:rPr>
          <w:b/>
        </w:rPr>
        <w:t>ext:</w:t>
      </w:r>
      <w:r>
        <w:t xml:space="preserve"> The enciphered plain text produced by a cipher suite; the </w:t>
      </w:r>
      <w:r w:rsidR="00C505E1">
        <w:t xml:space="preserve">union of the </w:t>
      </w:r>
      <w:r>
        <w:t xml:space="preserve">block-type-specific contents of a target </w:t>
      </w:r>
      <w:r w:rsidR="00E34FE5">
        <w:t>b</w:t>
      </w:r>
      <w:r>
        <w:t>lock after the applicati</w:t>
      </w:r>
      <w:r w:rsidR="00C505E1">
        <w:t>on of a confidentiality service wit</w:t>
      </w:r>
      <w:r w:rsidR="00B14308">
        <w:t>h any overflow bytes stored in the</w:t>
      </w:r>
      <w:r w:rsidR="00D2632C">
        <w:t xml:space="preserve"> corresponding</w:t>
      </w:r>
      <w:r w:rsidR="00B14308">
        <w:t xml:space="preserve"> SBSP</w:t>
      </w:r>
      <w:r w:rsidR="00C505E1">
        <w:t xml:space="preserve"> confidentiality security </w:t>
      </w:r>
      <w:r w:rsidR="00B14308">
        <w:t>block.</w:t>
      </w:r>
    </w:p>
    <w:p w14:paraId="51498897" w14:textId="77777777" w:rsidR="002432F8" w:rsidRPr="00DA7C4E" w:rsidRDefault="002432F8" w:rsidP="002432F8"/>
    <w:p w14:paraId="0D09EDF0" w14:textId="65EB3691" w:rsidR="002432F8" w:rsidRDefault="002432F8" w:rsidP="002432F8">
      <w:pPr>
        <w:jc w:val="both"/>
      </w:pPr>
      <w:r>
        <w:rPr>
          <w:b/>
        </w:rPr>
        <w:lastRenderedPageBreak/>
        <w:t>Security acceptor:</w:t>
      </w:r>
      <w:r w:rsidRPr="00290DB3">
        <w:t xml:space="preserve"> The security acceptor</w:t>
      </w:r>
      <w:r>
        <w:t xml:space="preserve"> of an SBSP</w:t>
      </w:r>
      <w:r w:rsidR="00CA4333">
        <w:t xml:space="preserve"> security block is the</w:t>
      </w:r>
      <w:r>
        <w:t xml:space="preserve"> BP agent </w:t>
      </w:r>
      <w:r w:rsidR="005A40E2">
        <w:t>required (by agent policy or configuration) to</w:t>
      </w:r>
      <w:r w:rsidRPr="00DA7C4E">
        <w:t xml:space="preserve"> </w:t>
      </w:r>
      <w:r w:rsidR="005A40E2">
        <w:t>process and remove</w:t>
      </w:r>
      <w:r w:rsidRPr="00DA7C4E">
        <w:t xml:space="preserve"> </w:t>
      </w:r>
      <w:r w:rsidR="00CA4333">
        <w:t xml:space="preserve">the </w:t>
      </w:r>
      <w:r>
        <w:t xml:space="preserve">SBSP </w:t>
      </w:r>
      <w:r w:rsidRPr="00DA7C4E">
        <w:t xml:space="preserve">security </w:t>
      </w:r>
      <w:r w:rsidR="00CA4333">
        <w:t>block</w:t>
      </w:r>
      <w:r>
        <w:t xml:space="preserve"> from a bundle.</w:t>
      </w:r>
    </w:p>
    <w:p w14:paraId="50F9C4F0" w14:textId="26812C85" w:rsidR="002432F8" w:rsidRDefault="002432F8" w:rsidP="002432F8">
      <w:pPr>
        <w:jc w:val="both"/>
        <w:rPr>
          <w:b/>
        </w:rPr>
      </w:pPr>
    </w:p>
    <w:p w14:paraId="7F0EB255" w14:textId="5FB93A22" w:rsidR="000F3FB4" w:rsidRDefault="000F3FB4" w:rsidP="006103C7">
      <w:pPr>
        <w:ind w:left="900" w:hanging="900"/>
        <w:jc w:val="both"/>
      </w:pPr>
      <w:r>
        <w:t xml:space="preserve">NOTE – The BP agent serving as the security acceptor of a SBSP extension block may not be known at the time the SBSP extension block is created at a bundle source. Therefore, determination of what </w:t>
      </w:r>
      <w:r w:rsidR="001C4DB0">
        <w:t xml:space="preserve">BP </w:t>
      </w:r>
      <w:r>
        <w:t xml:space="preserve">agent serves as </w:t>
      </w:r>
      <w:r w:rsidR="00846456">
        <w:t>an acceptor is left to each BP a</w:t>
      </w:r>
      <w:r>
        <w:t xml:space="preserve">gent in the network as it receives bundles. A bundle destination is considered the default security acceptor of any SBSP security </w:t>
      </w:r>
      <w:r w:rsidR="00EC07E0">
        <w:t>blocks remaining in the bundle at the time it reaches its destination.</w:t>
      </w:r>
    </w:p>
    <w:p w14:paraId="4495A7AF" w14:textId="2558F092" w:rsidR="000F3FB4" w:rsidRDefault="000F3FB4" w:rsidP="002432F8">
      <w:pPr>
        <w:jc w:val="both"/>
        <w:rPr>
          <w:b/>
        </w:rPr>
      </w:pPr>
    </w:p>
    <w:p w14:paraId="2FD1B144" w14:textId="7221DF9C" w:rsidR="00601FE7" w:rsidRDefault="00601FE7" w:rsidP="00601FE7">
      <w:pPr>
        <w:jc w:val="both"/>
      </w:pPr>
      <w:r>
        <w:rPr>
          <w:b/>
        </w:rPr>
        <w:t>Security-aware Bundle Protocol Agent (BPA)</w:t>
      </w:r>
      <w:r w:rsidRPr="001B79CE">
        <w:t xml:space="preserve">: A </w:t>
      </w:r>
      <w:r>
        <w:t>security-aware BPA is any BPA that provides SBSP services. A BPA that can add SBSP security blocks to a bundle, verify security blocks in a bundle, or process security blocks at their security acceptor.</w:t>
      </w:r>
    </w:p>
    <w:p w14:paraId="0545C31E" w14:textId="77777777" w:rsidR="00601FE7" w:rsidRDefault="00601FE7" w:rsidP="002432F8">
      <w:pPr>
        <w:jc w:val="both"/>
        <w:rPr>
          <w:b/>
        </w:rPr>
      </w:pPr>
    </w:p>
    <w:p w14:paraId="1905003C" w14:textId="6CF16F3F" w:rsidR="002432F8" w:rsidRDefault="002432F8" w:rsidP="002432F8">
      <w:pPr>
        <w:jc w:val="both"/>
      </w:pPr>
      <w:r>
        <w:rPr>
          <w:b/>
        </w:rPr>
        <w:t>S</w:t>
      </w:r>
      <w:r w:rsidR="002D4D87">
        <w:rPr>
          <w:b/>
        </w:rPr>
        <w:t>ecurity</w:t>
      </w:r>
      <w:r w:rsidR="00B93931">
        <w:rPr>
          <w:b/>
        </w:rPr>
        <w:t xml:space="preserve"> </w:t>
      </w:r>
      <w:r w:rsidRPr="001B79CE">
        <w:rPr>
          <w:b/>
        </w:rPr>
        <w:t>block</w:t>
      </w:r>
      <w:r w:rsidRPr="001B79CE">
        <w:t>: A single instance of a SBSP extension block in a bundle.</w:t>
      </w:r>
    </w:p>
    <w:p w14:paraId="6FE6B77D" w14:textId="6C6F7E4F" w:rsidR="002432F8" w:rsidRDefault="002432F8" w:rsidP="002432F8">
      <w:pPr>
        <w:jc w:val="both"/>
        <w:rPr>
          <w:b/>
        </w:rPr>
      </w:pPr>
    </w:p>
    <w:p w14:paraId="1B81572A" w14:textId="08B77485" w:rsidR="00D14F47" w:rsidRDefault="00D14F47" w:rsidP="00D14F47">
      <w:pPr>
        <w:jc w:val="both"/>
      </w:pPr>
      <w:r>
        <w:rPr>
          <w:b/>
        </w:rPr>
        <w:t>Security context</w:t>
      </w:r>
      <w:r w:rsidRPr="001B79CE">
        <w:t xml:space="preserve">: </w:t>
      </w:r>
      <w:r>
        <w:t>The set of assumptions, algorithms, configurations, and policies used to implement security services. The union of a cipher suite, cipher suite parameters, bundle-specific configuration, and node-specific configuration and policy.</w:t>
      </w:r>
    </w:p>
    <w:p w14:paraId="0C4D8215" w14:textId="77777777" w:rsidR="00D14F47" w:rsidRDefault="00D14F47" w:rsidP="002432F8">
      <w:pPr>
        <w:jc w:val="both"/>
        <w:rPr>
          <w:b/>
        </w:rPr>
      </w:pPr>
    </w:p>
    <w:p w14:paraId="011A315F" w14:textId="31B16848" w:rsidR="002432F8" w:rsidRPr="001B79CE" w:rsidRDefault="002432F8" w:rsidP="00465D15">
      <w:pPr>
        <w:jc w:val="both"/>
      </w:pPr>
      <w:r>
        <w:rPr>
          <w:b/>
        </w:rPr>
        <w:t>S</w:t>
      </w:r>
      <w:r w:rsidRPr="00DA7C4E">
        <w:rPr>
          <w:b/>
        </w:rPr>
        <w:t>ecurity operation</w:t>
      </w:r>
      <w:r w:rsidRPr="00DA7C4E">
        <w:t>: The application of a security service to a target</w:t>
      </w:r>
      <w:r>
        <w:t xml:space="preserve"> block</w:t>
      </w:r>
      <w:r w:rsidRPr="00DA7C4E">
        <w:t xml:space="preserve">, notated as </w:t>
      </w:r>
      <w:proofErr w:type="gramStart"/>
      <w:r w:rsidRPr="00DA7C4E">
        <w:t>OP(</w:t>
      </w:r>
      <w:proofErr w:type="gramEnd"/>
      <w:r w:rsidRPr="00DA7C4E">
        <w:t>security service, target</w:t>
      </w:r>
      <w:r>
        <w:t xml:space="preserve"> block</w:t>
      </w:r>
      <w:r w:rsidRPr="00DA7C4E">
        <w:t>), e.g., OP(</w:t>
      </w:r>
      <w:r>
        <w:t>integrity</w:t>
      </w:r>
      <w:r w:rsidRPr="00DA7C4E">
        <w:t xml:space="preserve">, </w:t>
      </w:r>
      <w:r>
        <w:t>primary block</w:t>
      </w:r>
      <w:r w:rsidRPr="00DA7C4E">
        <w:t xml:space="preserve">) or OP(confidentiality, payload).  A </w:t>
      </w:r>
      <w:r w:rsidR="006879B7">
        <w:t xml:space="preserve">single </w:t>
      </w:r>
      <w:r w:rsidRPr="00DA7C4E">
        <w:t xml:space="preserve">security operation </w:t>
      </w:r>
      <w:r>
        <w:t xml:space="preserve">is </w:t>
      </w:r>
      <w:r w:rsidRPr="00DA7C4E">
        <w:t xml:space="preserve">implemented </w:t>
      </w:r>
      <w:r>
        <w:t xml:space="preserve">with a </w:t>
      </w:r>
      <w:r w:rsidR="006879B7">
        <w:t xml:space="preserve">single </w:t>
      </w:r>
      <w:r>
        <w:t>security block.</w:t>
      </w:r>
    </w:p>
    <w:p w14:paraId="64E4BFD5" w14:textId="77777777" w:rsidR="002432F8" w:rsidRDefault="002432F8" w:rsidP="002432F8">
      <w:pPr>
        <w:jc w:val="both"/>
        <w:rPr>
          <w:b/>
        </w:rPr>
      </w:pPr>
    </w:p>
    <w:p w14:paraId="36A042AB" w14:textId="187728AC" w:rsidR="002432F8" w:rsidRDefault="002432F8" w:rsidP="002432F8">
      <w:pPr>
        <w:jc w:val="both"/>
      </w:pPr>
      <w:r>
        <w:rPr>
          <w:b/>
        </w:rPr>
        <w:t>S</w:t>
      </w:r>
      <w:r w:rsidRPr="00115A8C">
        <w:rPr>
          <w:b/>
        </w:rPr>
        <w:t>ecurity service</w:t>
      </w:r>
      <w:r w:rsidRPr="00115A8C">
        <w:t xml:space="preserve">: </w:t>
      </w:r>
      <w:r>
        <w:t>A process that gives some protection to a target</w:t>
      </w:r>
      <w:r w:rsidR="0012565C">
        <w:t xml:space="preserve"> block</w:t>
      </w:r>
      <w:r>
        <w:t>. For example, this Recommended Standard defines security services for integrity and confidentiality.</w:t>
      </w:r>
    </w:p>
    <w:p w14:paraId="3D2A7BD4" w14:textId="77777777" w:rsidR="002432F8" w:rsidRDefault="002432F8" w:rsidP="002432F8">
      <w:pPr>
        <w:jc w:val="both"/>
        <w:rPr>
          <w:b/>
        </w:rPr>
      </w:pPr>
    </w:p>
    <w:p w14:paraId="21DD4876" w14:textId="2AA32962" w:rsidR="002432F8" w:rsidRDefault="002432F8" w:rsidP="002432F8">
      <w:pPr>
        <w:jc w:val="both"/>
      </w:pPr>
      <w:r>
        <w:rPr>
          <w:b/>
        </w:rPr>
        <w:t xml:space="preserve">Security source: </w:t>
      </w:r>
      <w:r w:rsidRPr="00DA7C4E">
        <w:t xml:space="preserve">The </w:t>
      </w:r>
      <w:r>
        <w:t>security source of an SBSP security block is the BP</w:t>
      </w:r>
      <w:r w:rsidR="00E44CC4">
        <w:t>A</w:t>
      </w:r>
      <w:r>
        <w:t xml:space="preserve"> that created the </w:t>
      </w:r>
      <w:r w:rsidRPr="00DA7C4E">
        <w:t xml:space="preserve">bundle </w:t>
      </w:r>
      <w:r>
        <w:t>containing the SBSP</w:t>
      </w:r>
      <w:r w:rsidRPr="00DA7C4E">
        <w:t xml:space="preserve"> </w:t>
      </w:r>
      <w:r>
        <w:t xml:space="preserve">security </w:t>
      </w:r>
      <w:r w:rsidRPr="00DA7C4E">
        <w:t>block</w:t>
      </w:r>
      <w:r w:rsidR="004C4DBA">
        <w:t xml:space="preserve">; the bundle source </w:t>
      </w:r>
      <w:r w:rsidR="00F97070">
        <w:t>of</w:t>
      </w:r>
      <w:r w:rsidR="004C4DBA">
        <w:t xml:space="preserve"> the </w:t>
      </w:r>
      <w:r w:rsidR="0081222A">
        <w:t>bundle</w:t>
      </w:r>
      <w:r w:rsidR="004C4DBA">
        <w:t xml:space="preserve"> </w:t>
      </w:r>
      <w:r w:rsidR="0081222A">
        <w:t>containing</w:t>
      </w:r>
      <w:r w:rsidR="004C4DBA">
        <w:t xml:space="preserve"> the security block. </w:t>
      </w:r>
    </w:p>
    <w:p w14:paraId="4131A58B" w14:textId="77777777" w:rsidR="002432F8" w:rsidRPr="001B79CE" w:rsidRDefault="002432F8" w:rsidP="002432F8"/>
    <w:p w14:paraId="62A324E3" w14:textId="6B55C766" w:rsidR="00E44CC4" w:rsidRDefault="00E44CC4" w:rsidP="002432F8">
      <w:pPr>
        <w:jc w:val="both"/>
        <w:rPr>
          <w:b/>
        </w:rPr>
      </w:pPr>
      <w:r>
        <w:rPr>
          <w:b/>
        </w:rPr>
        <w:t xml:space="preserve">Security verifier: </w:t>
      </w:r>
      <w:r>
        <w:t>The security verifier of an SBSP security block is a</w:t>
      </w:r>
      <w:r w:rsidR="007F2E0C">
        <w:t xml:space="preserve"> security-aware </w:t>
      </w:r>
      <w:r>
        <w:t>BPA that verifies the integrity of the block prior to forwarding the block. A security verifier may not be the security block’s security source or security acceptor.</w:t>
      </w:r>
    </w:p>
    <w:p w14:paraId="046444B5" w14:textId="77777777" w:rsidR="00E44CC4" w:rsidRDefault="00E44CC4" w:rsidP="002432F8">
      <w:pPr>
        <w:jc w:val="both"/>
        <w:rPr>
          <w:b/>
        </w:rPr>
      </w:pPr>
    </w:p>
    <w:p w14:paraId="28A894B2" w14:textId="06B90E3F" w:rsidR="002432F8" w:rsidRDefault="002432F8" w:rsidP="002432F8">
      <w:pPr>
        <w:jc w:val="both"/>
      </w:pPr>
      <w:r>
        <w:rPr>
          <w:b/>
        </w:rPr>
        <w:t>T</w:t>
      </w:r>
      <w:r w:rsidRPr="001B79CE">
        <w:rPr>
          <w:b/>
        </w:rPr>
        <w:t>arget</w:t>
      </w:r>
      <w:r>
        <w:rPr>
          <w:b/>
        </w:rPr>
        <w:t xml:space="preserve"> block</w:t>
      </w:r>
      <w:r>
        <w:rPr>
          <w:rStyle w:val="CommentReference"/>
        </w:rPr>
        <w:commentReference w:id="55"/>
      </w:r>
      <w:r w:rsidRPr="001B79CE">
        <w:t xml:space="preserve">: </w:t>
      </w:r>
      <w:r>
        <w:t xml:space="preserve">A block within a bundle that receives a security service as part of a security operation. </w:t>
      </w:r>
    </w:p>
    <w:p w14:paraId="665D4A47" w14:textId="77777777" w:rsidR="002432F8" w:rsidRPr="001B79CE" w:rsidRDefault="002432F8" w:rsidP="002432F8">
      <w:pPr>
        <w:pStyle w:val="Heading2"/>
        <w:numPr>
          <w:ilvl w:val="1"/>
          <w:numId w:val="1"/>
        </w:numPr>
        <w:spacing w:before="480"/>
      </w:pPr>
      <w:bookmarkStart w:id="56" w:name="_Toc39246841"/>
      <w:r w:rsidRPr="001B79CE">
        <w:t>NOMENCLATURE</w:t>
      </w:r>
      <w:bookmarkEnd w:id="56"/>
    </w:p>
    <w:p w14:paraId="23F768ED" w14:textId="77777777" w:rsidR="002432F8" w:rsidRPr="001B79CE" w:rsidRDefault="002432F8" w:rsidP="002432F8">
      <w:pPr>
        <w:pStyle w:val="Heading3"/>
        <w:numPr>
          <w:ilvl w:val="2"/>
          <w:numId w:val="1"/>
        </w:numPr>
      </w:pPr>
      <w:r w:rsidRPr="001B79CE">
        <w:t>Normative Text</w:t>
      </w:r>
    </w:p>
    <w:p w14:paraId="65810B7C" w14:textId="77777777" w:rsidR="002432F8" w:rsidRDefault="002432F8" w:rsidP="002432F8"/>
    <w:p w14:paraId="22A28783" w14:textId="77777777" w:rsidR="002432F8" w:rsidRPr="001B79CE" w:rsidRDefault="002432F8" w:rsidP="002432F8">
      <w:r w:rsidRPr="001B79CE">
        <w:t xml:space="preserve">The following conventions apply for the normative specifications in this </w:t>
      </w:r>
      <w:r w:rsidRPr="001B79CE">
        <w:rPr>
          <w:bCs/>
        </w:rPr>
        <w:t>Recommended Standard</w:t>
      </w:r>
      <w:r w:rsidRPr="001B79CE">
        <w:t>:</w:t>
      </w:r>
    </w:p>
    <w:p w14:paraId="503582E8" w14:textId="77777777" w:rsidR="002432F8" w:rsidRPr="001B79CE" w:rsidRDefault="002432F8" w:rsidP="00C818EF">
      <w:pPr>
        <w:pStyle w:val="List"/>
        <w:numPr>
          <w:ilvl w:val="0"/>
          <w:numId w:val="3"/>
        </w:numPr>
        <w:tabs>
          <w:tab w:val="clear" w:pos="360"/>
          <w:tab w:val="num" w:pos="720"/>
        </w:tabs>
        <w:ind w:left="720"/>
        <w:pPrChange w:id="57" w:author="Birrane, Edward J." w:date="2020-05-01T17:51:00Z">
          <w:pPr>
            <w:pStyle w:val="List"/>
            <w:numPr>
              <w:numId w:val="5"/>
            </w:numPr>
            <w:tabs>
              <w:tab w:val="num" w:pos="720"/>
            </w:tabs>
          </w:pPr>
        </w:pPrChange>
      </w:pPr>
      <w:r w:rsidRPr="001B79CE">
        <w:lastRenderedPageBreak/>
        <w:t>the words ‘shall’ and ‘must’ imply a binding and verifiable specification;</w:t>
      </w:r>
    </w:p>
    <w:p w14:paraId="2FEBE1B6" w14:textId="77777777" w:rsidR="002432F8" w:rsidRPr="001B79CE" w:rsidRDefault="002432F8" w:rsidP="00C818EF">
      <w:pPr>
        <w:pStyle w:val="List"/>
        <w:numPr>
          <w:ilvl w:val="0"/>
          <w:numId w:val="3"/>
        </w:numPr>
        <w:tabs>
          <w:tab w:val="clear" w:pos="360"/>
          <w:tab w:val="num" w:pos="720"/>
        </w:tabs>
        <w:ind w:left="720"/>
        <w:pPrChange w:id="58" w:author="Birrane, Edward J." w:date="2020-05-01T17:51:00Z">
          <w:pPr>
            <w:pStyle w:val="List"/>
            <w:numPr>
              <w:numId w:val="5"/>
            </w:numPr>
            <w:tabs>
              <w:tab w:val="num" w:pos="720"/>
            </w:tabs>
          </w:pPr>
        </w:pPrChange>
      </w:pPr>
      <w:r w:rsidRPr="001B79CE">
        <w:t>the word ‘should’ implies an optional, but desirable, specification;</w:t>
      </w:r>
    </w:p>
    <w:p w14:paraId="073EDE62" w14:textId="77777777" w:rsidR="002432F8" w:rsidRPr="001B79CE" w:rsidRDefault="002432F8" w:rsidP="00C818EF">
      <w:pPr>
        <w:pStyle w:val="List"/>
        <w:numPr>
          <w:ilvl w:val="0"/>
          <w:numId w:val="3"/>
        </w:numPr>
        <w:tabs>
          <w:tab w:val="clear" w:pos="360"/>
          <w:tab w:val="num" w:pos="720"/>
        </w:tabs>
        <w:ind w:left="720"/>
        <w:pPrChange w:id="59" w:author="Birrane, Edward J." w:date="2020-05-01T17:51:00Z">
          <w:pPr>
            <w:pStyle w:val="List"/>
            <w:numPr>
              <w:numId w:val="5"/>
            </w:numPr>
            <w:tabs>
              <w:tab w:val="num" w:pos="720"/>
            </w:tabs>
          </w:pPr>
        </w:pPrChange>
      </w:pPr>
      <w:r w:rsidRPr="001B79CE">
        <w:t>the word ‘may’ implies an optional specification;</w:t>
      </w:r>
    </w:p>
    <w:p w14:paraId="11E61239" w14:textId="77777777" w:rsidR="002432F8" w:rsidRPr="001B79CE" w:rsidRDefault="002432F8" w:rsidP="00C818EF">
      <w:pPr>
        <w:pStyle w:val="List"/>
        <w:numPr>
          <w:ilvl w:val="0"/>
          <w:numId w:val="3"/>
        </w:numPr>
        <w:tabs>
          <w:tab w:val="clear" w:pos="360"/>
          <w:tab w:val="num" w:pos="720"/>
        </w:tabs>
        <w:ind w:left="720"/>
        <w:pPrChange w:id="60" w:author="Birrane, Edward J." w:date="2020-05-01T17:51:00Z">
          <w:pPr>
            <w:pStyle w:val="List"/>
            <w:numPr>
              <w:numId w:val="5"/>
            </w:numPr>
            <w:tabs>
              <w:tab w:val="num" w:pos="720"/>
            </w:tabs>
          </w:pPr>
        </w:pPrChange>
      </w:pPr>
      <w:proofErr w:type="gramStart"/>
      <w:r w:rsidRPr="001B79CE">
        <w:t>the</w:t>
      </w:r>
      <w:proofErr w:type="gramEnd"/>
      <w:r w:rsidRPr="001B79CE">
        <w:t xml:space="preserve"> words ‘is’, ‘are’, and ‘will’ imply statements of fact.</w:t>
      </w:r>
    </w:p>
    <w:p w14:paraId="4255C629" w14:textId="77777777" w:rsidR="002432F8" w:rsidRPr="001B79CE" w:rsidRDefault="002432F8" w:rsidP="002432F8">
      <w:pPr>
        <w:pStyle w:val="Notelevel1"/>
      </w:pPr>
      <w:r w:rsidRPr="001B79CE">
        <w:t>NOTE</w:t>
      </w:r>
      <w:r w:rsidRPr="001B79CE">
        <w:tab/>
        <w:t>–</w:t>
      </w:r>
      <w:r w:rsidRPr="001B79CE">
        <w:tab/>
        <w:t>These conventions do not imply constraints on diction in text that is clearly informative in nature.</w:t>
      </w:r>
    </w:p>
    <w:p w14:paraId="6F9FE83C" w14:textId="77777777" w:rsidR="002432F8" w:rsidRPr="001B79CE" w:rsidRDefault="002432F8" w:rsidP="002432F8">
      <w:pPr>
        <w:pStyle w:val="Heading3"/>
        <w:numPr>
          <w:ilvl w:val="2"/>
          <w:numId w:val="1"/>
        </w:numPr>
        <w:spacing w:before="480"/>
      </w:pPr>
      <w:r w:rsidRPr="001B79CE">
        <w:t>Informative Text</w:t>
      </w:r>
    </w:p>
    <w:p w14:paraId="649D41BA" w14:textId="77777777" w:rsidR="002432F8" w:rsidRDefault="002432F8" w:rsidP="002432F8">
      <w:pPr>
        <w:keepNext/>
      </w:pPr>
    </w:p>
    <w:p w14:paraId="7FEF6731" w14:textId="77777777" w:rsidR="002432F8" w:rsidRPr="001B79CE" w:rsidRDefault="002432F8" w:rsidP="002432F8">
      <w:pPr>
        <w:keepNext/>
      </w:pPr>
      <w:r w:rsidRPr="001B79CE">
        <w:t>In the normative sections of this document, informative text is set off from the normative specifications either in notes or under one of the following subsection headings:</w:t>
      </w:r>
    </w:p>
    <w:p w14:paraId="1E56AEDA" w14:textId="77777777" w:rsidR="002432F8" w:rsidRPr="001B79CE" w:rsidRDefault="002432F8" w:rsidP="00C818EF">
      <w:pPr>
        <w:pStyle w:val="List"/>
        <w:numPr>
          <w:ilvl w:val="0"/>
          <w:numId w:val="4"/>
        </w:numPr>
        <w:tabs>
          <w:tab w:val="clear" w:pos="360"/>
          <w:tab w:val="num" w:pos="720"/>
        </w:tabs>
        <w:ind w:left="720"/>
        <w:pPrChange w:id="61" w:author="Birrane, Edward J." w:date="2020-05-01T17:51:00Z">
          <w:pPr>
            <w:pStyle w:val="List"/>
            <w:numPr>
              <w:numId w:val="6"/>
            </w:numPr>
            <w:tabs>
              <w:tab w:val="num" w:pos="720"/>
            </w:tabs>
            <w:ind w:hanging="720"/>
          </w:pPr>
        </w:pPrChange>
      </w:pPr>
      <w:r w:rsidRPr="001B79CE">
        <w:t>Overview;</w:t>
      </w:r>
    </w:p>
    <w:p w14:paraId="7E7E91F8" w14:textId="77777777" w:rsidR="002432F8" w:rsidRPr="001B79CE" w:rsidRDefault="002432F8" w:rsidP="00C818EF">
      <w:pPr>
        <w:pStyle w:val="List"/>
        <w:numPr>
          <w:ilvl w:val="0"/>
          <w:numId w:val="4"/>
        </w:numPr>
        <w:tabs>
          <w:tab w:val="clear" w:pos="360"/>
          <w:tab w:val="num" w:pos="720"/>
        </w:tabs>
        <w:ind w:left="720"/>
        <w:pPrChange w:id="62" w:author="Birrane, Edward J." w:date="2020-05-01T17:51:00Z">
          <w:pPr>
            <w:pStyle w:val="List"/>
            <w:numPr>
              <w:numId w:val="6"/>
            </w:numPr>
            <w:tabs>
              <w:tab w:val="num" w:pos="720"/>
            </w:tabs>
            <w:ind w:hanging="720"/>
          </w:pPr>
        </w:pPrChange>
      </w:pPr>
      <w:r w:rsidRPr="001B79CE">
        <w:t>Background;</w:t>
      </w:r>
    </w:p>
    <w:p w14:paraId="58B2E0D0" w14:textId="77777777" w:rsidR="002432F8" w:rsidRPr="001B79CE" w:rsidRDefault="002432F8" w:rsidP="00C818EF">
      <w:pPr>
        <w:pStyle w:val="List"/>
        <w:numPr>
          <w:ilvl w:val="0"/>
          <w:numId w:val="4"/>
        </w:numPr>
        <w:tabs>
          <w:tab w:val="clear" w:pos="360"/>
          <w:tab w:val="num" w:pos="720"/>
        </w:tabs>
        <w:ind w:left="720"/>
        <w:pPrChange w:id="63" w:author="Birrane, Edward J." w:date="2020-05-01T17:51:00Z">
          <w:pPr>
            <w:pStyle w:val="List"/>
            <w:numPr>
              <w:numId w:val="6"/>
            </w:numPr>
            <w:tabs>
              <w:tab w:val="num" w:pos="720"/>
            </w:tabs>
            <w:ind w:hanging="720"/>
          </w:pPr>
        </w:pPrChange>
      </w:pPr>
      <w:r w:rsidRPr="001B79CE">
        <w:t>Rationale;</w:t>
      </w:r>
    </w:p>
    <w:p w14:paraId="61676001" w14:textId="77777777" w:rsidR="002432F8" w:rsidRPr="001B79CE" w:rsidRDefault="002432F8" w:rsidP="00C818EF">
      <w:pPr>
        <w:pStyle w:val="List"/>
        <w:numPr>
          <w:ilvl w:val="0"/>
          <w:numId w:val="4"/>
        </w:numPr>
        <w:tabs>
          <w:tab w:val="clear" w:pos="360"/>
          <w:tab w:val="num" w:pos="720"/>
        </w:tabs>
        <w:ind w:left="720"/>
        <w:pPrChange w:id="64" w:author="Birrane, Edward J." w:date="2020-05-01T17:51:00Z">
          <w:pPr>
            <w:pStyle w:val="List"/>
            <w:numPr>
              <w:numId w:val="6"/>
            </w:numPr>
            <w:tabs>
              <w:tab w:val="num" w:pos="720"/>
            </w:tabs>
            <w:ind w:hanging="720"/>
          </w:pPr>
        </w:pPrChange>
      </w:pPr>
      <w:r w:rsidRPr="001B79CE">
        <w:t>Discussion.</w:t>
      </w:r>
    </w:p>
    <w:p w14:paraId="55DAFB66" w14:textId="77777777" w:rsidR="002432F8" w:rsidRPr="001B79CE" w:rsidRDefault="002432F8" w:rsidP="002432F8">
      <w:pPr>
        <w:pStyle w:val="Heading2"/>
        <w:numPr>
          <w:ilvl w:val="1"/>
          <w:numId w:val="1"/>
        </w:numPr>
        <w:spacing w:before="480"/>
      </w:pPr>
      <w:bookmarkStart w:id="65" w:name="_Toc39246842"/>
      <w:r w:rsidRPr="001B79CE">
        <w:t>References</w:t>
      </w:r>
      <w:bookmarkEnd w:id="65"/>
    </w:p>
    <w:p w14:paraId="4CEB6D9E" w14:textId="77777777" w:rsidR="002432F8" w:rsidRDefault="002432F8" w:rsidP="002432F8">
      <w:pPr>
        <w:keepLines/>
      </w:pPr>
    </w:p>
    <w:p w14:paraId="7ED92002" w14:textId="33A2B206" w:rsidR="002432F8" w:rsidRDefault="002432F8" w:rsidP="00465D15">
      <w:pPr>
        <w:keepLines/>
        <w:jc w:val="both"/>
      </w:pPr>
      <w:r w:rsidRPr="001B79CE">
        <w:t xml:space="preserve">The following publications contain provisions which, through reference in this text, constitute provisions of this document. At the time of publication, the editions indicated were valid. All publications are subject to revision, and users of this Recommended Standard are encouraged to investigate the possibility of applying the most recent editions of the publications indicated below. The CCSDS Secretariat maintains a register of currently valid CCSDS </w:t>
      </w:r>
      <w:commentRangeStart w:id="66"/>
      <w:commentRangeStart w:id="67"/>
      <w:r w:rsidRPr="001B79CE">
        <w:t>publications</w:t>
      </w:r>
      <w:commentRangeEnd w:id="66"/>
      <w:r>
        <w:rPr>
          <w:rStyle w:val="CommentReference"/>
        </w:rPr>
        <w:commentReference w:id="66"/>
      </w:r>
      <w:commentRangeEnd w:id="67"/>
      <w:r>
        <w:rPr>
          <w:rStyle w:val="CommentReference"/>
        </w:rPr>
        <w:commentReference w:id="67"/>
      </w:r>
      <w:r w:rsidRPr="001B79CE">
        <w:t>.</w:t>
      </w:r>
    </w:p>
    <w:p w14:paraId="0394580A" w14:textId="77777777" w:rsidR="00544082" w:rsidRPr="001B79CE" w:rsidRDefault="00544082" w:rsidP="00465D15">
      <w:pPr>
        <w:keepLines/>
        <w:jc w:val="both"/>
      </w:pPr>
    </w:p>
    <w:p w14:paraId="6AADF638" w14:textId="77777777" w:rsidR="002432F8" w:rsidRPr="001B79CE" w:rsidRDefault="002432F8" w:rsidP="002432F8">
      <w:pPr>
        <w:pStyle w:val="References"/>
      </w:pPr>
      <w:r w:rsidRPr="001B79CE">
        <w:t>[</w:t>
      </w:r>
      <w:fldSimple w:instr=" SEQ ref \s 8 \* MERGEFORMAT \* MERGEFORMAT ">
        <w:r>
          <w:rPr>
            <w:noProof/>
          </w:rPr>
          <w:t>1</w:t>
        </w:r>
      </w:fldSimple>
      <w:r w:rsidRPr="001B79CE">
        <w:t>]</w:t>
      </w:r>
      <w:r w:rsidRPr="001B79CE">
        <w:tab/>
      </w:r>
      <w:r w:rsidRPr="001B79CE">
        <w:rPr>
          <w:i/>
          <w:iCs/>
        </w:rPr>
        <w:t>CCSDS Bundle Protocol Specification</w:t>
      </w:r>
      <w:r w:rsidRPr="001B79CE">
        <w:t>. Issue 1. Recommendation for Space Data System Standards (Blue Book), CCSDS 734.2-B-1. Washington, D.C.: CCSDS, September 2015.</w:t>
      </w:r>
    </w:p>
    <w:p w14:paraId="2ECBA82C" w14:textId="77777777" w:rsidR="002432F8" w:rsidRPr="001B79CE" w:rsidRDefault="002432F8" w:rsidP="002432F8">
      <w:pPr>
        <w:pStyle w:val="References"/>
      </w:pPr>
      <w:r w:rsidRPr="001B79CE">
        <w:t>[</w:t>
      </w:r>
      <w:fldSimple w:instr=" SEQ ref \s 8 \* MERGEFORMAT \* MERGEFORMAT ">
        <w:r>
          <w:rPr>
            <w:noProof/>
          </w:rPr>
          <w:t>2</w:t>
        </w:r>
      </w:fldSimple>
      <w:r w:rsidRPr="001B79CE">
        <w:t>]</w:t>
      </w:r>
      <w:r w:rsidRPr="001B79CE">
        <w:tab/>
      </w:r>
      <w:r w:rsidRPr="00DA7C4E">
        <w:rPr>
          <w:i/>
          <w:iCs/>
        </w:rPr>
        <w:t>CCS</w:t>
      </w:r>
      <w:r>
        <w:rPr>
          <w:i/>
          <w:iCs/>
        </w:rPr>
        <w:t>D</w:t>
      </w:r>
      <w:r w:rsidRPr="00DA7C4E">
        <w:rPr>
          <w:i/>
          <w:iCs/>
        </w:rPr>
        <w:t>S Cryptographic Algorithms</w:t>
      </w:r>
      <w:r w:rsidRPr="001B79CE">
        <w:t>.</w:t>
      </w:r>
      <w:r>
        <w:t xml:space="preserve"> Issue 2.  </w:t>
      </w:r>
      <w:r w:rsidRPr="00C002E6">
        <w:t xml:space="preserve"> </w:t>
      </w:r>
      <w:r w:rsidRPr="001B79CE">
        <w:t>Recommendation for Space Data System Standards (</w:t>
      </w:r>
      <w:r>
        <w:t>Blue</w:t>
      </w:r>
      <w:r w:rsidRPr="001B79CE">
        <w:t xml:space="preserve"> Book), CCSDS </w:t>
      </w:r>
      <w:r>
        <w:t>352.0-B-2</w:t>
      </w:r>
      <w:r w:rsidRPr="001B79CE">
        <w:t xml:space="preserve">. Washington, D.C.: CCSDS, </w:t>
      </w:r>
      <w:r>
        <w:t>August 2019</w:t>
      </w:r>
      <w:r w:rsidRPr="001B79CE">
        <w:t>.</w:t>
      </w:r>
    </w:p>
    <w:p w14:paraId="55FF740E" w14:textId="77777777" w:rsidR="002432F8" w:rsidRPr="001B79CE" w:rsidRDefault="002432F8" w:rsidP="002432F8">
      <w:pPr>
        <w:pStyle w:val="References"/>
      </w:pPr>
      <w:r w:rsidRPr="001B79CE">
        <w:t>[</w:t>
      </w:r>
      <w:fldSimple w:instr=" SEQ ref \s 8 \* MERGEFORMAT \* MERGEFORMAT ">
        <w:r>
          <w:rPr>
            <w:noProof/>
          </w:rPr>
          <w:t>3</w:t>
        </w:r>
      </w:fldSimple>
      <w:r w:rsidRPr="001B79CE">
        <w:t>]</w:t>
      </w:r>
      <w:r w:rsidRPr="001B79CE">
        <w:tab/>
      </w:r>
      <w:r w:rsidRPr="00DA7C4E">
        <w:rPr>
          <w:i/>
          <w:iCs/>
        </w:rPr>
        <w:t>Space Missions Key Management Concept</w:t>
      </w:r>
      <w:r w:rsidRPr="001B79CE">
        <w:t>.</w:t>
      </w:r>
      <w:r>
        <w:t xml:space="preserve"> Issue 1.  </w:t>
      </w:r>
      <w:r w:rsidRPr="00C002E6">
        <w:t xml:space="preserve"> </w:t>
      </w:r>
      <w:r>
        <w:t>Report Concerning</w:t>
      </w:r>
      <w:r w:rsidRPr="001B79CE">
        <w:t xml:space="preserve"> Space Data System Standards (</w:t>
      </w:r>
      <w:r>
        <w:t>Green</w:t>
      </w:r>
      <w:r w:rsidRPr="001B79CE">
        <w:t xml:space="preserve"> Book), CCSDS </w:t>
      </w:r>
      <w:r>
        <w:t>350.6-G-1</w:t>
      </w:r>
      <w:r w:rsidRPr="001B79CE">
        <w:t xml:space="preserve">. Washington, D.C.: CCSDS, </w:t>
      </w:r>
      <w:r>
        <w:t>November</w:t>
      </w:r>
      <w:r w:rsidRPr="001B79CE">
        <w:t xml:space="preserve"> 201</w:t>
      </w:r>
      <w:r>
        <w:t>1</w:t>
      </w:r>
      <w:r w:rsidRPr="001B79CE">
        <w:t>.</w:t>
      </w:r>
    </w:p>
    <w:p w14:paraId="44140F48" w14:textId="77777777" w:rsidR="002432F8" w:rsidRDefault="002432F8" w:rsidP="002432F8">
      <w:pPr>
        <w:pStyle w:val="References"/>
      </w:pPr>
      <w:r w:rsidRPr="001B79CE">
        <w:t>[</w:t>
      </w:r>
      <w:fldSimple w:instr=" SEQ ref \s 8 \* MERGEFORMAT \* MERGEFORMAT ">
        <w:r>
          <w:rPr>
            <w:noProof/>
          </w:rPr>
          <w:t>4</w:t>
        </w:r>
      </w:fldSimple>
      <w:r w:rsidRPr="001B79CE">
        <w:t>]</w:t>
      </w:r>
      <w:r w:rsidRPr="001B79CE">
        <w:tab/>
      </w:r>
      <w:r w:rsidRPr="00DA7C4E">
        <w:rPr>
          <w:i/>
          <w:iCs/>
        </w:rPr>
        <w:t>Information Security Glossary of Terms</w:t>
      </w:r>
      <w:r w:rsidRPr="001B79CE">
        <w:t>.</w:t>
      </w:r>
      <w:r>
        <w:t xml:space="preserve"> Issue 1.  Report Concerning</w:t>
      </w:r>
      <w:r w:rsidRPr="001B79CE">
        <w:t xml:space="preserve"> Space Data System Standards (</w:t>
      </w:r>
      <w:r>
        <w:t>Green</w:t>
      </w:r>
      <w:r w:rsidRPr="001B79CE">
        <w:t xml:space="preserve"> Book), CCSDS </w:t>
      </w:r>
      <w:r>
        <w:t>350.8-G-1</w:t>
      </w:r>
      <w:r w:rsidRPr="001B79CE">
        <w:t xml:space="preserve">. Washington, D.C.: CCSDS, </w:t>
      </w:r>
      <w:r>
        <w:t>November</w:t>
      </w:r>
      <w:r w:rsidRPr="001B79CE">
        <w:t xml:space="preserve"> 201</w:t>
      </w:r>
      <w:r>
        <w:t>2</w:t>
      </w:r>
      <w:r w:rsidRPr="001B79CE">
        <w:t>.</w:t>
      </w:r>
    </w:p>
    <w:p w14:paraId="509B20F6" w14:textId="77777777" w:rsidR="002432F8" w:rsidRDefault="002432F8" w:rsidP="002432F8">
      <w:pPr>
        <w:pStyle w:val="References"/>
      </w:pPr>
      <w:r w:rsidRPr="001B79CE">
        <w:lastRenderedPageBreak/>
        <w:t>[</w:t>
      </w:r>
      <w:fldSimple w:instr=" SEQ ref \s 8 \* MERGEFORMAT \* MERGEFORMAT ">
        <w:r>
          <w:rPr>
            <w:noProof/>
          </w:rPr>
          <w:t>5</w:t>
        </w:r>
      </w:fldSimple>
      <w:r w:rsidRPr="001B79CE">
        <w:t>]</w:t>
      </w:r>
      <w:r w:rsidRPr="001B79CE">
        <w:tab/>
      </w:r>
      <w:r>
        <w:t>CCSDS Terms.  SANA Registry https://sanaregistry.org/r/terms</w:t>
      </w:r>
      <w:r w:rsidRPr="001B79CE">
        <w:t>.</w:t>
      </w:r>
    </w:p>
    <w:p w14:paraId="6A4C551B" w14:textId="77777777" w:rsidR="002432F8" w:rsidRDefault="002432F8" w:rsidP="002432F8">
      <w:pPr>
        <w:pStyle w:val="References"/>
      </w:pPr>
      <w:r w:rsidRPr="001B79CE">
        <w:t>[</w:t>
      </w:r>
      <w:fldSimple w:instr=" SEQ ref \s 8 \* MERGEFORMAT \* MERGEFORMAT ">
        <w:r>
          <w:rPr>
            <w:noProof/>
          </w:rPr>
          <w:t>6</w:t>
        </w:r>
      </w:fldSimple>
      <w:r w:rsidRPr="001B79CE">
        <w:t>]</w:t>
      </w:r>
      <w:r w:rsidRPr="001B79CE">
        <w:tab/>
        <w:t xml:space="preserve">W. Eddy and E. Davies. </w:t>
      </w:r>
      <w:r w:rsidRPr="001B79CE">
        <w:rPr>
          <w:i/>
          <w:iCs/>
        </w:rPr>
        <w:t>Using Self-Delimiting Numeric Values in Protocols</w:t>
      </w:r>
      <w:r w:rsidRPr="001B79CE">
        <w:t>. RFC 6256. Reston, Virginia: ISOC, May 2011.</w:t>
      </w:r>
    </w:p>
    <w:p w14:paraId="0D69E18D" w14:textId="77777777" w:rsidR="002432F8" w:rsidRPr="001B79CE" w:rsidRDefault="002432F8" w:rsidP="002432F8">
      <w:pPr>
        <w:pStyle w:val="References"/>
      </w:pPr>
      <w:r w:rsidRPr="001B79CE">
        <w:t>[</w:t>
      </w:r>
      <w:fldSimple w:instr=" SEQ ref \s 8 \* MERGEFORMAT \* MERGEFORMAT ">
        <w:r>
          <w:rPr>
            <w:noProof/>
          </w:rPr>
          <w:t>7</w:t>
        </w:r>
      </w:fldSimple>
      <w:r w:rsidRPr="001B79CE">
        <w:t>]</w:t>
      </w:r>
      <w:r w:rsidRPr="001B79CE">
        <w:tab/>
        <w:t xml:space="preserve">T. Berners-Lee, R. Fielding, and L. </w:t>
      </w:r>
      <w:proofErr w:type="spellStart"/>
      <w:r w:rsidRPr="001B79CE">
        <w:t>Masinter</w:t>
      </w:r>
      <w:proofErr w:type="spellEnd"/>
      <w:r w:rsidRPr="001B79CE">
        <w:t xml:space="preserve">. </w:t>
      </w:r>
      <w:r w:rsidRPr="001B79CE">
        <w:rPr>
          <w:i/>
          <w:iCs/>
        </w:rPr>
        <w:t>Uniform Resource Identifier (URI): Generic Syntax</w:t>
      </w:r>
      <w:r w:rsidRPr="001B79CE">
        <w:t>. STD 66. Reston, Virginia: ISOC, January 2005.</w:t>
      </w:r>
    </w:p>
    <w:p w14:paraId="0E2291F6" w14:textId="283572A8" w:rsidR="002432F8" w:rsidRPr="00290DB3" w:rsidRDefault="008B537B" w:rsidP="002432F8">
      <w:pPr>
        <w:pStyle w:val="References"/>
      </w:pPr>
      <w:r>
        <w:t xml:space="preserve"> [8</w:t>
      </w:r>
      <w:r w:rsidR="002432F8">
        <w:t>]</w:t>
      </w:r>
      <w:r w:rsidR="002432F8">
        <w:tab/>
        <w:t xml:space="preserve">R. </w:t>
      </w:r>
      <w:proofErr w:type="spellStart"/>
      <w:r w:rsidR="002432F8">
        <w:t>Shirey</w:t>
      </w:r>
      <w:proofErr w:type="spellEnd"/>
      <w:r w:rsidR="002432F8">
        <w:t xml:space="preserve">. </w:t>
      </w:r>
      <w:r w:rsidR="002432F8">
        <w:rPr>
          <w:i/>
        </w:rPr>
        <w:t>Internet Security Glossary, Version 2</w:t>
      </w:r>
      <w:r w:rsidR="002432F8">
        <w:t>. RFC 4949. Reston, Virginia: ISOC, August 2007.</w:t>
      </w:r>
    </w:p>
    <w:p w14:paraId="732DCC0E" w14:textId="77777777" w:rsidR="00332FF3" w:rsidRDefault="00332FF3" w:rsidP="00332FF3">
      <w:bookmarkStart w:id="68" w:name="_Toc22630324"/>
      <w:bookmarkStart w:id="69" w:name="_Toc22630423"/>
      <w:bookmarkEnd w:id="0"/>
      <w:bookmarkEnd w:id="68"/>
      <w:bookmarkEnd w:id="69"/>
    </w:p>
    <w:p w14:paraId="3EFA3B6F" w14:textId="77777777" w:rsidR="00332FF3" w:rsidRDefault="00332FF3" w:rsidP="00332FF3">
      <w:pPr>
        <w:sectPr w:rsidR="00332FF3" w:rsidSect="00A32DEB">
          <w:type w:val="continuous"/>
          <w:pgSz w:w="12240" w:h="15840"/>
          <w:pgMar w:top="1440" w:right="1440" w:bottom="1440" w:left="1440" w:header="547" w:footer="547" w:gutter="360"/>
          <w:pgNumType w:start="1" w:chapStyle="1"/>
          <w:cols w:space="720"/>
          <w:docGrid w:linePitch="360"/>
        </w:sectPr>
      </w:pPr>
    </w:p>
    <w:p w14:paraId="20C6DF07" w14:textId="77777777" w:rsidR="00332FF3" w:rsidRPr="001B79CE" w:rsidRDefault="00332FF3" w:rsidP="00A32DEB">
      <w:pPr>
        <w:pStyle w:val="Heading1"/>
      </w:pPr>
      <w:bookmarkStart w:id="70" w:name="_Toc350520798"/>
      <w:bookmarkStart w:id="71" w:name="_Toc129154153"/>
      <w:bookmarkStart w:id="72" w:name="_Toc39246843"/>
      <w:r w:rsidRPr="001B79CE">
        <w:lastRenderedPageBreak/>
        <w:t>Overview</w:t>
      </w:r>
      <w:bookmarkEnd w:id="70"/>
      <w:bookmarkEnd w:id="72"/>
    </w:p>
    <w:p w14:paraId="2EF58274" w14:textId="6D8E0185" w:rsidR="00DC2C02" w:rsidRDefault="00DC2C02" w:rsidP="00A32DEB">
      <w:pPr>
        <w:pStyle w:val="Heading2"/>
      </w:pPr>
      <w:bookmarkStart w:id="73" w:name="_Toc350520799"/>
      <w:bookmarkStart w:id="74" w:name="_Toc39246844"/>
      <w:bookmarkEnd w:id="71"/>
      <w:r>
        <w:t>Concept of the Streamlined Bundle Security Protocol</w:t>
      </w:r>
      <w:bookmarkEnd w:id="74"/>
    </w:p>
    <w:p w14:paraId="7CFE6182" w14:textId="77777777" w:rsidR="00232C44" w:rsidRDefault="00232C44" w:rsidP="00DC2C02"/>
    <w:p w14:paraId="786FF49E" w14:textId="77777777" w:rsidR="00A32C2D" w:rsidRDefault="00080BFD" w:rsidP="00465D15">
      <w:pPr>
        <w:jc w:val="both"/>
      </w:pPr>
      <w:r>
        <w:t xml:space="preserve">The SBSP is a data processing method by which space missions can apply integrity or confidentiality to the individual blocks that comprise a BP bundle. The SBSP data units are codified as extension blocks within the BP and only exist in the context of a bundle. </w:t>
      </w:r>
    </w:p>
    <w:p w14:paraId="512AFBD4" w14:textId="12C3A179" w:rsidR="00A32C2D" w:rsidRDefault="00A32C2D" w:rsidP="00DC2C02"/>
    <w:p w14:paraId="041A3065" w14:textId="62049860" w:rsidR="00193F96" w:rsidRDefault="00A32C2D" w:rsidP="00465D15">
      <w:pPr>
        <w:jc w:val="both"/>
      </w:pPr>
      <w:r>
        <w:t xml:space="preserve">This type of security service is needed because the </w:t>
      </w:r>
      <w:r w:rsidRPr="00B10280">
        <w:t>stressed</w:t>
      </w:r>
      <w:r>
        <w:t xml:space="preserve"> </w:t>
      </w:r>
      <w:r w:rsidRPr="00B10280">
        <w:t>nature of the BP operating environment imposes unique conditions</w:t>
      </w:r>
      <w:r>
        <w:t xml:space="preserve"> </w:t>
      </w:r>
      <w:r w:rsidRPr="00B10280">
        <w:t>where usual transport security mechanisms may not be sufficient.  For</w:t>
      </w:r>
      <w:r>
        <w:t xml:space="preserve"> </w:t>
      </w:r>
      <w:r w:rsidRPr="00B10280">
        <w:t>example, the store-carry-forward nature of the network may require</w:t>
      </w:r>
      <w:r>
        <w:t xml:space="preserve"> </w:t>
      </w:r>
      <w:r w:rsidRPr="00B10280">
        <w:t>protecting data at rest, preventing unauthorized consumption of</w:t>
      </w:r>
      <w:r>
        <w:t xml:space="preserve"> </w:t>
      </w:r>
      <w:r w:rsidRPr="00B10280">
        <w:t>critical resources such as storage space, and operating without</w:t>
      </w:r>
      <w:r>
        <w:t xml:space="preserve"> </w:t>
      </w:r>
      <w:r w:rsidRPr="00B10280">
        <w:t>regular contact with a centralized security oracle (such as a</w:t>
      </w:r>
      <w:r>
        <w:t xml:space="preserve"> </w:t>
      </w:r>
      <w:r w:rsidRPr="00B10280">
        <w:t>certificate authority).</w:t>
      </w:r>
    </w:p>
    <w:p w14:paraId="74F1EC40" w14:textId="77777777" w:rsidR="00B10280" w:rsidRDefault="00B10280" w:rsidP="00DC2C02"/>
    <w:p w14:paraId="7DEA95F8" w14:textId="0C0195BC" w:rsidR="00B25031" w:rsidRDefault="00DC2C02" w:rsidP="00465D15">
      <w:pPr>
        <w:jc w:val="both"/>
      </w:pPr>
      <w:commentRangeStart w:id="75"/>
      <w:r w:rsidRPr="001B79CE">
        <w:t xml:space="preserve">Figure </w:t>
      </w:r>
      <w:commentRangeEnd w:id="75"/>
      <w:r>
        <w:rPr>
          <w:rStyle w:val="CommentReference"/>
        </w:rPr>
        <w:commentReference w:id="75"/>
      </w:r>
      <w:r w:rsidRPr="001B79CE">
        <w:fldChar w:fldCharType="begin"/>
      </w:r>
      <w:r w:rsidRPr="001B79CE">
        <w:instrText xml:space="preserve"> REF F_101BundleNodesSitattheApplicationLayer \h </w:instrText>
      </w:r>
      <w:r w:rsidRPr="001B79CE">
        <w:fldChar w:fldCharType="separate"/>
      </w:r>
      <w:r>
        <w:rPr>
          <w:noProof/>
        </w:rPr>
        <w:t>2</w:t>
      </w:r>
      <w:r w:rsidRPr="001B79CE">
        <w:noBreakHyphen/>
      </w:r>
      <w:r>
        <w:rPr>
          <w:noProof/>
        </w:rPr>
        <w:t>1</w:t>
      </w:r>
      <w:r w:rsidRPr="001B79CE">
        <w:fldChar w:fldCharType="end"/>
      </w:r>
      <w:r w:rsidRPr="001B79CE">
        <w:t xml:space="preserve"> below</w:t>
      </w:r>
      <w:r w:rsidR="00583F09">
        <w:t xml:space="preserve"> illustrates the streamlined operational concepts associated with the SBSP. In this illustration</w:t>
      </w:r>
      <w:r w:rsidR="00501B72">
        <w:t>, both security</w:t>
      </w:r>
      <w:r w:rsidR="000C4B1B">
        <w:t>-</w:t>
      </w:r>
      <w:r w:rsidR="00501B72">
        <w:t>aware (BN1, BN3, BN4) and non-security</w:t>
      </w:r>
      <w:r w:rsidR="000C4B1B">
        <w:t>-a</w:t>
      </w:r>
      <w:r w:rsidR="00501B72">
        <w:t xml:space="preserve">ware (BN2) </w:t>
      </w:r>
      <w:r w:rsidR="00E1627E">
        <w:t>BPAs</w:t>
      </w:r>
      <w:r w:rsidR="009072B3">
        <w:t xml:space="preserve"> are encountered by bundles</w:t>
      </w:r>
      <w:r w:rsidR="00501B72">
        <w:t>. The security</w:t>
      </w:r>
      <w:r w:rsidR="000C4B1B">
        <w:t>-</w:t>
      </w:r>
      <w:r w:rsidR="00501B72">
        <w:t xml:space="preserve">aware </w:t>
      </w:r>
      <w:r w:rsidR="004711A2">
        <w:t>BPAs</w:t>
      </w:r>
      <w:r w:rsidR="00501B72">
        <w:t xml:space="preserve"> take on the roles of security source, </w:t>
      </w:r>
      <w:r w:rsidR="006236E0">
        <w:t>verifier</w:t>
      </w:r>
      <w:r w:rsidR="00501B72">
        <w:t xml:space="preserve">, and acceptor </w:t>
      </w:r>
      <w:r w:rsidR="00B01D76">
        <w:t xml:space="preserve">as they receive different bundles. </w:t>
      </w:r>
      <w:r w:rsidR="00936AEC">
        <w:t>A security</w:t>
      </w:r>
      <w:r w:rsidR="000C4B1B">
        <w:t>-</w:t>
      </w:r>
      <w:r w:rsidR="00936AEC">
        <w:t xml:space="preserve">aware </w:t>
      </w:r>
      <w:r w:rsidR="004A21D8">
        <w:t>BPA</w:t>
      </w:r>
      <w:r w:rsidR="00936AEC">
        <w:t xml:space="preserve"> may take on multiple roles, as evidenced by BN3, which serves as the security source for bundle 3, security </w:t>
      </w:r>
      <w:r w:rsidR="007C0AD0">
        <w:t>verifier</w:t>
      </w:r>
      <w:r w:rsidR="00936AEC">
        <w:t xml:space="preserve"> for bundle </w:t>
      </w:r>
      <w:r w:rsidR="007C0AD0">
        <w:t>2</w:t>
      </w:r>
      <w:r w:rsidR="00936AEC">
        <w:t xml:space="preserve">, and security acceptor for bundle 1. </w:t>
      </w:r>
    </w:p>
    <w:p w14:paraId="7B92C66D" w14:textId="09B7F549" w:rsidR="00B25031" w:rsidRDefault="00B25031" w:rsidP="00DC2C02"/>
    <w:p w14:paraId="57CDE474" w14:textId="23892F5E" w:rsidR="00DC2C02" w:rsidRDefault="008D2AB2" w:rsidP="00465D15">
      <w:pPr>
        <w:jc w:val="both"/>
      </w:pPr>
      <w:r>
        <w:t>Each security service is added to a bundle for a target block by a security source and removed from the bundle by a security acceptor.</w:t>
      </w:r>
      <w:r w:rsidR="00B25031">
        <w:t xml:space="preserve"> Some bundles may </w:t>
      </w:r>
      <w:r w:rsidR="000C2E0F">
        <w:t xml:space="preserve">additionally </w:t>
      </w:r>
      <w:r w:rsidR="00B25031">
        <w:t xml:space="preserve">encounter security </w:t>
      </w:r>
      <w:r>
        <w:t>verifier</w:t>
      </w:r>
      <w:r w:rsidR="00B25031">
        <w:t>s, as bundle 2 in figure 2-1 does</w:t>
      </w:r>
      <w:r w:rsidR="00725FD5">
        <w:t>.</w:t>
      </w:r>
    </w:p>
    <w:p w14:paraId="755D7E16" w14:textId="3B1CA2DA" w:rsidR="00504D20" w:rsidRDefault="00504D20" w:rsidP="00465D15"/>
    <w:p w14:paraId="1ED8B345" w14:textId="7A62301C" w:rsidR="00501B72" w:rsidRPr="00465D15" w:rsidRDefault="00501B72" w:rsidP="00DC2C02">
      <w:pPr>
        <w:jc w:val="center"/>
        <w:rPr>
          <w:strike/>
        </w:rPr>
      </w:pPr>
    </w:p>
    <w:p w14:paraId="23DC9E68" w14:textId="60EAF80C" w:rsidR="00501B72" w:rsidRPr="00465D15" w:rsidRDefault="000B1989" w:rsidP="00DC2C02">
      <w:pPr>
        <w:jc w:val="center"/>
        <w:rPr>
          <w:strike/>
        </w:rPr>
      </w:pPr>
      <w:r>
        <w:rPr>
          <w:noProof/>
        </w:rPr>
        <w:drawing>
          <wp:inline distT="0" distB="0" distL="0" distR="0" wp14:anchorId="34AF4F9D" wp14:editId="0F15D803">
            <wp:extent cx="5713911" cy="20688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2_1_2.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13911" cy="2068830"/>
                    </a:xfrm>
                    <a:prstGeom prst="rect">
                      <a:avLst/>
                    </a:prstGeom>
                  </pic:spPr>
                </pic:pic>
              </a:graphicData>
            </a:graphic>
          </wp:inline>
        </w:drawing>
      </w:r>
    </w:p>
    <w:p w14:paraId="6046D203" w14:textId="17BEB92E" w:rsidR="00F6190F" w:rsidRPr="00465D15" w:rsidRDefault="00F6190F" w:rsidP="00DC2C02">
      <w:pPr>
        <w:jc w:val="center"/>
        <w:rPr>
          <w:strike/>
        </w:rPr>
      </w:pPr>
    </w:p>
    <w:p w14:paraId="4A91FEA4" w14:textId="2E085899" w:rsidR="005B6218" w:rsidRPr="00394053" w:rsidRDefault="00DC2C02" w:rsidP="00465D15">
      <w:pPr>
        <w:jc w:val="center"/>
      </w:pPr>
      <w:bookmarkStart w:id="76" w:name="_Toc39247067"/>
      <w:r w:rsidRPr="00394053">
        <w:t xml:space="preserve">Figure </w:t>
      </w:r>
      <w:bookmarkStart w:id="77" w:name="F_101BundleNodesSitattheApplicationLayer"/>
      <w:r w:rsidR="005B6218" w:rsidRPr="00394053">
        <w:fldChar w:fldCharType="begin"/>
      </w:r>
      <w:r w:rsidR="005B6218" w:rsidRPr="00394053">
        <w:instrText xml:space="preserve"> STYLEREF 1 \s </w:instrText>
      </w:r>
      <w:r w:rsidR="005B6218" w:rsidRPr="00394053">
        <w:fldChar w:fldCharType="separate"/>
      </w:r>
      <w:r w:rsidR="005B6218" w:rsidRPr="00394053">
        <w:rPr>
          <w:noProof/>
        </w:rPr>
        <w:t>2</w:t>
      </w:r>
      <w:r w:rsidR="005B6218" w:rsidRPr="00394053">
        <w:fldChar w:fldCharType="end"/>
      </w:r>
      <w:r w:rsidR="005B6218" w:rsidRPr="00394053">
        <w:noBreakHyphen/>
      </w:r>
      <w:r w:rsidR="005B6218" w:rsidRPr="00394053">
        <w:fldChar w:fldCharType="begin"/>
      </w:r>
      <w:r w:rsidR="005B6218" w:rsidRPr="00394053">
        <w:instrText xml:space="preserve"> SEQ Figure \* ARABIC \s 1 </w:instrText>
      </w:r>
      <w:r w:rsidR="005B6218" w:rsidRPr="00394053">
        <w:fldChar w:fldCharType="separate"/>
      </w:r>
      <w:r w:rsidR="005B6218" w:rsidRPr="00394053">
        <w:rPr>
          <w:noProof/>
        </w:rPr>
        <w:t>1</w:t>
      </w:r>
      <w:r w:rsidR="005B6218" w:rsidRPr="00394053">
        <w:fldChar w:fldCharType="end"/>
      </w:r>
      <w:bookmarkEnd w:id="77"/>
      <w:r w:rsidRPr="00394053">
        <w:fldChar w:fldCharType="begin"/>
      </w:r>
      <w:r w:rsidRPr="00394053">
        <w:instrText xml:space="preserve"> TC \f G "</w:instrText>
      </w:r>
      <w:fldSimple w:instr=" STYLEREF &quot;Heading 1&quot;\l \n \t \* MERGEFORMAT ">
        <w:bookmarkStart w:id="78" w:name="_Toc39189129"/>
        <w:r w:rsidRPr="00394053">
          <w:rPr>
            <w:noProof/>
          </w:rPr>
          <w:instrText>2</w:instrText>
        </w:r>
      </w:fldSimple>
      <w:r w:rsidRPr="00394053">
        <w:instrText>-</w:instrText>
      </w:r>
      <w:fldSimple w:instr=" SEQ Figure_TOC \s 1 \* MERGEFORMAT ">
        <w:r w:rsidRPr="00394053">
          <w:rPr>
            <w:noProof/>
          </w:rPr>
          <w:instrText>1</w:instrText>
        </w:r>
      </w:fldSimple>
      <w:r w:rsidRPr="00394053">
        <w:tab/>
        <w:instrText>Bundle Nodes Sit at the Application Layer of the Internet Model</w:instrText>
      </w:r>
      <w:bookmarkEnd w:id="78"/>
      <w:r w:rsidRPr="00394053">
        <w:instrText>"</w:instrText>
      </w:r>
      <w:r w:rsidRPr="00394053">
        <w:fldChar w:fldCharType="end"/>
      </w:r>
      <w:r w:rsidRPr="00394053">
        <w:t>:  Bundle Nodes Sit at the Application Layer of the Internet Model</w:t>
      </w:r>
      <w:bookmarkEnd w:id="76"/>
    </w:p>
    <w:p w14:paraId="523C4EFA" w14:textId="2EF835C8" w:rsidR="005B6218" w:rsidRDefault="005B6218" w:rsidP="00465D15"/>
    <w:p w14:paraId="07EE07F1" w14:textId="4AD15693" w:rsidR="00B60873" w:rsidRPr="00465D15" w:rsidRDefault="00B60873" w:rsidP="00465D15">
      <w:pPr>
        <w:jc w:val="both"/>
        <w:rPr>
          <w:color w:val="000000" w:themeColor="text1"/>
        </w:rPr>
      </w:pPr>
      <w:r w:rsidRPr="00465D15">
        <w:rPr>
          <w:color w:val="000000" w:themeColor="text1"/>
        </w:rPr>
        <w:t xml:space="preserve">Figure </w:t>
      </w:r>
      <w:r w:rsidR="007D38FC" w:rsidRPr="00465D15">
        <w:rPr>
          <w:color w:val="000000" w:themeColor="text1"/>
        </w:rPr>
        <w:fldChar w:fldCharType="begin"/>
      </w:r>
      <w:r w:rsidR="007D38FC" w:rsidRPr="00465D15">
        <w:rPr>
          <w:color w:val="000000" w:themeColor="text1"/>
        </w:rPr>
        <w:instrText xml:space="preserve"> PAGEREF _Ref39056092 \h </w:instrText>
      </w:r>
      <w:r w:rsidR="007D38FC" w:rsidRPr="00465D15">
        <w:rPr>
          <w:color w:val="000000" w:themeColor="text1"/>
        </w:rPr>
      </w:r>
      <w:r w:rsidR="007D38FC" w:rsidRPr="00465D15">
        <w:rPr>
          <w:color w:val="000000" w:themeColor="text1"/>
        </w:rPr>
        <w:fldChar w:fldCharType="separate"/>
      </w:r>
      <w:r w:rsidR="007D38FC" w:rsidRPr="00465D15">
        <w:rPr>
          <w:noProof/>
          <w:color w:val="000000" w:themeColor="text1"/>
        </w:rPr>
        <w:t>2-2</w:t>
      </w:r>
      <w:r w:rsidR="007D38FC" w:rsidRPr="00465D15">
        <w:rPr>
          <w:color w:val="000000" w:themeColor="text1"/>
        </w:rPr>
        <w:fldChar w:fldCharType="end"/>
      </w:r>
      <w:r w:rsidR="007D38FC" w:rsidRPr="00465D15">
        <w:rPr>
          <w:color w:val="000000" w:themeColor="text1"/>
        </w:rPr>
        <w:t xml:space="preserve"> </w:t>
      </w:r>
      <w:r w:rsidRPr="00465D15">
        <w:rPr>
          <w:color w:val="000000" w:themeColor="text1"/>
        </w:rPr>
        <w:t xml:space="preserve">shows the operation of </w:t>
      </w:r>
      <w:r w:rsidR="007D38FC" w:rsidRPr="00465D15">
        <w:rPr>
          <w:color w:val="000000" w:themeColor="text1"/>
        </w:rPr>
        <w:t xml:space="preserve">a </w:t>
      </w:r>
      <w:r w:rsidRPr="00465D15">
        <w:rPr>
          <w:color w:val="000000" w:themeColor="text1"/>
        </w:rPr>
        <w:t xml:space="preserve">security source, </w:t>
      </w:r>
      <w:r w:rsidR="008A0FDE">
        <w:rPr>
          <w:color w:val="000000" w:themeColor="text1"/>
        </w:rPr>
        <w:t>verifier</w:t>
      </w:r>
      <w:r w:rsidRPr="00465D15">
        <w:rPr>
          <w:color w:val="000000" w:themeColor="text1"/>
        </w:rPr>
        <w:t xml:space="preserve">, and acceptor on </w:t>
      </w:r>
      <w:r w:rsidR="007D38FC" w:rsidRPr="00465D15">
        <w:rPr>
          <w:color w:val="000000" w:themeColor="text1"/>
        </w:rPr>
        <w:t>a</w:t>
      </w:r>
      <w:r w:rsidRPr="00465D15">
        <w:rPr>
          <w:color w:val="000000" w:themeColor="text1"/>
        </w:rPr>
        <w:t xml:space="preserve"> security block </w:t>
      </w:r>
      <w:r w:rsidR="00FD1942">
        <w:rPr>
          <w:color w:val="000000" w:themeColor="text1"/>
        </w:rPr>
        <w:t xml:space="preserve">that </w:t>
      </w:r>
      <w:r w:rsidR="00426E60">
        <w:rPr>
          <w:color w:val="000000" w:themeColor="text1"/>
        </w:rPr>
        <w:t>provid</w:t>
      </w:r>
      <w:r w:rsidR="00FD1942">
        <w:rPr>
          <w:color w:val="000000" w:themeColor="text1"/>
        </w:rPr>
        <w:t xml:space="preserve">es </w:t>
      </w:r>
      <w:r w:rsidR="00426E60">
        <w:rPr>
          <w:color w:val="000000" w:themeColor="text1"/>
        </w:rPr>
        <w:t>integrity for its target block i</w:t>
      </w:r>
      <w:r w:rsidRPr="00465D15">
        <w:rPr>
          <w:color w:val="000000" w:themeColor="text1"/>
        </w:rPr>
        <w:t xml:space="preserve">n a bundle. </w:t>
      </w:r>
    </w:p>
    <w:p w14:paraId="3E95938F" w14:textId="0B4AA61A" w:rsidR="007D38FC" w:rsidRPr="00465D15" w:rsidRDefault="007D38FC">
      <w:pPr>
        <w:rPr>
          <w:color w:val="000000" w:themeColor="text1"/>
        </w:rPr>
      </w:pPr>
    </w:p>
    <w:p w14:paraId="49D2DC0E" w14:textId="52CA7FDB" w:rsidR="007D38FC" w:rsidRPr="00465D15" w:rsidRDefault="0071692B" w:rsidP="00465D15">
      <w:pPr>
        <w:jc w:val="both"/>
        <w:rPr>
          <w:color w:val="000000" w:themeColor="text1"/>
        </w:rPr>
      </w:pPr>
      <w:r>
        <w:rPr>
          <w:color w:val="000000" w:themeColor="text1"/>
        </w:rPr>
        <w:t>In this figure, s</w:t>
      </w:r>
      <w:r w:rsidR="007D38FC" w:rsidRPr="00465D15">
        <w:rPr>
          <w:color w:val="000000" w:themeColor="text1"/>
        </w:rPr>
        <w:t xml:space="preserve">teps 1 and 2 occur at the security source. At step 1, the security source identifies a </w:t>
      </w:r>
      <w:r w:rsidR="00276C2F">
        <w:rPr>
          <w:color w:val="000000" w:themeColor="text1"/>
        </w:rPr>
        <w:t xml:space="preserve">target </w:t>
      </w:r>
      <w:r w:rsidR="007D38FC" w:rsidRPr="00465D15">
        <w:rPr>
          <w:color w:val="000000" w:themeColor="text1"/>
        </w:rPr>
        <w:t xml:space="preserve">block in the bundle which is required by policy to have integrity applied before the </w:t>
      </w:r>
      <w:r w:rsidR="007D38FC" w:rsidRPr="00465D15">
        <w:rPr>
          <w:color w:val="000000" w:themeColor="text1"/>
        </w:rPr>
        <w:lastRenderedPageBreak/>
        <w:t xml:space="preserve">bundle is transmitted. </w:t>
      </w:r>
      <w:r w:rsidR="00CE2E5F">
        <w:rPr>
          <w:color w:val="000000" w:themeColor="text1"/>
        </w:rPr>
        <w:t>At step 2, the security source computes an integrity result and adds it to the bundle in the form of a SBSP security block.</w:t>
      </w:r>
    </w:p>
    <w:p w14:paraId="79508E33" w14:textId="226C44D9" w:rsidR="007D38FC" w:rsidRPr="00465D15" w:rsidRDefault="007D38FC">
      <w:pPr>
        <w:rPr>
          <w:color w:val="000000" w:themeColor="text1"/>
        </w:rPr>
      </w:pPr>
    </w:p>
    <w:p w14:paraId="2E99F84C" w14:textId="0C7F5E58" w:rsidR="007D38FC" w:rsidRPr="00465D15" w:rsidRDefault="007D38FC" w:rsidP="00465D15">
      <w:pPr>
        <w:jc w:val="both"/>
        <w:rPr>
          <w:color w:val="000000" w:themeColor="text1"/>
        </w:rPr>
      </w:pPr>
      <w:r w:rsidRPr="00465D15">
        <w:rPr>
          <w:color w:val="000000" w:themeColor="text1"/>
        </w:rPr>
        <w:t xml:space="preserve">Steps 3 and 4 occur at the security </w:t>
      </w:r>
      <w:r w:rsidR="004D4EC8">
        <w:rPr>
          <w:color w:val="000000" w:themeColor="text1"/>
        </w:rPr>
        <w:t>verifier</w:t>
      </w:r>
      <w:r w:rsidRPr="00465D15">
        <w:rPr>
          <w:color w:val="000000" w:themeColor="text1"/>
        </w:rPr>
        <w:t xml:space="preserve"> node. Step 3 shows the identification of the node as the </w:t>
      </w:r>
      <w:r w:rsidR="002D5CEB">
        <w:rPr>
          <w:color w:val="000000" w:themeColor="text1"/>
        </w:rPr>
        <w:t>security block’s</w:t>
      </w:r>
      <w:r w:rsidRPr="00465D15">
        <w:rPr>
          <w:color w:val="000000" w:themeColor="text1"/>
        </w:rPr>
        <w:t xml:space="preserve"> security </w:t>
      </w:r>
      <w:r w:rsidR="009A48E2">
        <w:rPr>
          <w:color w:val="000000" w:themeColor="text1"/>
        </w:rPr>
        <w:t>verifier</w:t>
      </w:r>
      <w:r w:rsidRPr="00465D15">
        <w:rPr>
          <w:color w:val="000000" w:themeColor="text1"/>
        </w:rPr>
        <w:t xml:space="preserve">. The security </w:t>
      </w:r>
      <w:r w:rsidR="00D142D4">
        <w:rPr>
          <w:color w:val="000000" w:themeColor="text1"/>
        </w:rPr>
        <w:t>verifier</w:t>
      </w:r>
      <w:r w:rsidRPr="00465D15">
        <w:rPr>
          <w:color w:val="000000" w:themeColor="text1"/>
        </w:rPr>
        <w:t xml:space="preserve"> </w:t>
      </w:r>
      <w:r w:rsidR="00E037FE">
        <w:rPr>
          <w:color w:val="000000" w:themeColor="text1"/>
        </w:rPr>
        <w:t>verifies</w:t>
      </w:r>
      <w:r w:rsidRPr="00465D15">
        <w:rPr>
          <w:color w:val="000000" w:themeColor="text1"/>
        </w:rPr>
        <w:t xml:space="preserve"> the integrity of the </w:t>
      </w:r>
      <w:r w:rsidR="00B66CCB">
        <w:rPr>
          <w:color w:val="000000" w:themeColor="text1"/>
        </w:rPr>
        <w:t>targe</w:t>
      </w:r>
      <w:r w:rsidR="008A2292">
        <w:rPr>
          <w:color w:val="000000" w:themeColor="text1"/>
        </w:rPr>
        <w:t>t</w:t>
      </w:r>
      <w:r w:rsidR="00B66CCB">
        <w:rPr>
          <w:color w:val="000000" w:themeColor="text1"/>
        </w:rPr>
        <w:t xml:space="preserve"> of the security block at</w:t>
      </w:r>
      <w:r w:rsidRPr="00465D15">
        <w:rPr>
          <w:color w:val="000000" w:themeColor="text1"/>
        </w:rPr>
        <w:t xml:space="preserve"> step 4.</w:t>
      </w:r>
    </w:p>
    <w:p w14:paraId="6238E2C7" w14:textId="3B60C8D4" w:rsidR="00402692" w:rsidRPr="00465D15" w:rsidRDefault="00402692">
      <w:pPr>
        <w:rPr>
          <w:color w:val="000000" w:themeColor="text1"/>
        </w:rPr>
      </w:pPr>
    </w:p>
    <w:p w14:paraId="0B05535F" w14:textId="0D52FE6F" w:rsidR="00402692" w:rsidRDefault="00402692" w:rsidP="00465D15">
      <w:pPr>
        <w:rPr>
          <w:color w:val="000000" w:themeColor="text1"/>
        </w:rPr>
      </w:pPr>
      <w:r w:rsidRPr="00465D15">
        <w:rPr>
          <w:color w:val="000000" w:themeColor="text1"/>
        </w:rPr>
        <w:t>Steps 5, 6</w:t>
      </w:r>
      <w:r w:rsidR="004A21D8">
        <w:rPr>
          <w:color w:val="000000" w:themeColor="text1"/>
        </w:rPr>
        <w:t>,</w:t>
      </w:r>
      <w:r w:rsidRPr="00465D15">
        <w:rPr>
          <w:color w:val="000000" w:themeColor="text1"/>
        </w:rPr>
        <w:t xml:space="preserve"> and 7 occur at the security acceptor. Step 5 shows the identification of the node as the </w:t>
      </w:r>
      <w:r w:rsidR="0025279D">
        <w:rPr>
          <w:color w:val="000000" w:themeColor="text1"/>
        </w:rPr>
        <w:t>security block’s</w:t>
      </w:r>
      <w:r w:rsidRPr="00465D15">
        <w:rPr>
          <w:color w:val="000000" w:themeColor="text1"/>
        </w:rPr>
        <w:t xml:space="preserve"> security acceptor. The </w:t>
      </w:r>
      <w:r w:rsidR="0025279D">
        <w:rPr>
          <w:color w:val="000000" w:themeColor="text1"/>
        </w:rPr>
        <w:t xml:space="preserve">block </w:t>
      </w:r>
      <w:r w:rsidRPr="00465D15">
        <w:rPr>
          <w:color w:val="000000" w:themeColor="text1"/>
        </w:rPr>
        <w:t xml:space="preserve">is processed in order to verify the integrity of its target block in step 6. The </w:t>
      </w:r>
      <w:r w:rsidR="00161261">
        <w:rPr>
          <w:color w:val="000000" w:themeColor="text1"/>
        </w:rPr>
        <w:t>security block</w:t>
      </w:r>
      <w:r w:rsidRPr="00465D15">
        <w:rPr>
          <w:color w:val="000000" w:themeColor="text1"/>
        </w:rPr>
        <w:t xml:space="preserve"> is removed from the bundle in step 7.</w:t>
      </w:r>
    </w:p>
    <w:p w14:paraId="2E1E1C55" w14:textId="77777777" w:rsidR="000B1989" w:rsidRPr="00465D15" w:rsidRDefault="000B1989" w:rsidP="00465D15">
      <w:pPr>
        <w:rPr>
          <w:color w:val="000000" w:themeColor="text1"/>
        </w:rPr>
      </w:pPr>
    </w:p>
    <w:p w14:paraId="66472292" w14:textId="77777777" w:rsidR="005B6218" w:rsidRDefault="005B6218" w:rsidP="00465D15"/>
    <w:p w14:paraId="0AE0DAFA" w14:textId="44327288" w:rsidR="005B6218" w:rsidRDefault="000B1989" w:rsidP="00465D15">
      <w:pPr>
        <w:keepNext/>
      </w:pPr>
      <w:r>
        <w:rPr>
          <w:noProof/>
        </w:rPr>
        <w:drawing>
          <wp:inline distT="0" distB="0" distL="0" distR="0" wp14:anchorId="72570B81" wp14:editId="0B5F174A">
            <wp:extent cx="5715000" cy="172186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n-network Integrit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15000" cy="1721863"/>
                    </a:xfrm>
                    <a:prstGeom prst="rect">
                      <a:avLst/>
                    </a:prstGeom>
                  </pic:spPr>
                </pic:pic>
              </a:graphicData>
            </a:graphic>
          </wp:inline>
        </w:drawing>
      </w:r>
    </w:p>
    <w:p w14:paraId="5E6094FC" w14:textId="77777777" w:rsidR="00401F7A" w:rsidRDefault="00401F7A" w:rsidP="00465D15">
      <w:pPr>
        <w:keepNext/>
      </w:pPr>
    </w:p>
    <w:p w14:paraId="4417EF53" w14:textId="776DE497" w:rsidR="000B1989" w:rsidRPr="00394053" w:rsidRDefault="005B6218" w:rsidP="00465D15">
      <w:pPr>
        <w:jc w:val="center"/>
      </w:pPr>
      <w:bookmarkStart w:id="79" w:name="_Ref39056074"/>
      <w:bookmarkStart w:id="80" w:name="_Ref39056092"/>
      <w:bookmarkStart w:id="81" w:name="_Toc39247068"/>
      <w:r w:rsidRPr="00394053">
        <w:rPr>
          <w:color w:val="000000" w:themeColor="text1"/>
        </w:rPr>
        <w:t xml:space="preserve">Figure </w:t>
      </w:r>
      <w:r w:rsidRPr="00394053">
        <w:rPr>
          <w:color w:val="000000" w:themeColor="text1"/>
        </w:rPr>
        <w:fldChar w:fldCharType="begin"/>
      </w:r>
      <w:r w:rsidRPr="00394053">
        <w:rPr>
          <w:color w:val="000000" w:themeColor="text1"/>
        </w:rPr>
        <w:instrText xml:space="preserve"> STYLEREF 1 \s </w:instrText>
      </w:r>
      <w:r w:rsidRPr="00394053">
        <w:rPr>
          <w:color w:val="000000" w:themeColor="text1"/>
        </w:rPr>
        <w:fldChar w:fldCharType="separate"/>
      </w:r>
      <w:r w:rsidRPr="00394053">
        <w:rPr>
          <w:noProof/>
          <w:color w:val="000000" w:themeColor="text1"/>
        </w:rPr>
        <w:t>2</w:t>
      </w:r>
      <w:r w:rsidRPr="00394053">
        <w:rPr>
          <w:color w:val="000000" w:themeColor="text1"/>
        </w:rPr>
        <w:fldChar w:fldCharType="end"/>
      </w:r>
      <w:r w:rsidRPr="00394053">
        <w:rPr>
          <w:color w:val="000000" w:themeColor="text1"/>
        </w:rPr>
        <w:noBreakHyphen/>
      </w:r>
      <w:r w:rsidRPr="00394053">
        <w:rPr>
          <w:color w:val="000000" w:themeColor="text1"/>
        </w:rPr>
        <w:fldChar w:fldCharType="begin"/>
      </w:r>
      <w:r w:rsidRPr="00394053">
        <w:rPr>
          <w:color w:val="000000" w:themeColor="text1"/>
        </w:rPr>
        <w:instrText xml:space="preserve"> SEQ Figure \* ARABIC \s 1 </w:instrText>
      </w:r>
      <w:r w:rsidRPr="00394053">
        <w:rPr>
          <w:color w:val="000000" w:themeColor="text1"/>
        </w:rPr>
        <w:fldChar w:fldCharType="separate"/>
      </w:r>
      <w:r w:rsidRPr="00394053">
        <w:rPr>
          <w:noProof/>
          <w:color w:val="000000" w:themeColor="text1"/>
        </w:rPr>
        <w:t>2</w:t>
      </w:r>
      <w:r w:rsidRPr="00394053">
        <w:rPr>
          <w:color w:val="000000" w:themeColor="text1"/>
        </w:rPr>
        <w:fldChar w:fldCharType="end"/>
      </w:r>
      <w:bookmarkEnd w:id="79"/>
      <w:r w:rsidRPr="00394053">
        <w:rPr>
          <w:color w:val="000000" w:themeColor="text1"/>
        </w:rPr>
        <w:t xml:space="preserve"> Security</w:t>
      </w:r>
      <w:r w:rsidR="00D9469C">
        <w:rPr>
          <w:color w:val="000000" w:themeColor="text1"/>
        </w:rPr>
        <w:t>-aware BPAs</w:t>
      </w:r>
      <w:r w:rsidRPr="00394053">
        <w:rPr>
          <w:color w:val="000000" w:themeColor="text1"/>
        </w:rPr>
        <w:t xml:space="preserve"> operate on security blocks in a bundle.</w:t>
      </w:r>
      <w:bookmarkEnd w:id="80"/>
      <w:bookmarkEnd w:id="81"/>
    </w:p>
    <w:p w14:paraId="2F816557" w14:textId="77777777" w:rsidR="000B1989" w:rsidRPr="00465D15" w:rsidRDefault="000B1989" w:rsidP="00465D15"/>
    <w:p w14:paraId="3EFF4E82" w14:textId="77777777" w:rsidR="00DC2C02" w:rsidRPr="00DC2C02" w:rsidRDefault="00DC2C02" w:rsidP="00465D15">
      <w:pPr>
        <w:pStyle w:val="Caption"/>
        <w:jc w:val="center"/>
      </w:pPr>
    </w:p>
    <w:p w14:paraId="04FE3A22" w14:textId="0D9F5375" w:rsidR="006E5A65" w:rsidRDefault="006E5A65" w:rsidP="00A32DEB">
      <w:pPr>
        <w:pStyle w:val="Heading2"/>
      </w:pPr>
      <w:bookmarkStart w:id="82" w:name="_Toc39246845"/>
      <w:r>
        <w:t xml:space="preserve">Features of the </w:t>
      </w:r>
      <w:r w:rsidR="00035A86">
        <w:t>Streamlined</w:t>
      </w:r>
      <w:r w:rsidR="00003789">
        <w:t xml:space="preserve"> Bundle Security protocol</w:t>
      </w:r>
      <w:bookmarkEnd w:id="82"/>
    </w:p>
    <w:p w14:paraId="0866D0E2" w14:textId="515DAA7C" w:rsidR="00332FF3" w:rsidRDefault="00332FF3">
      <w:pPr>
        <w:pStyle w:val="Heading3"/>
      </w:pPr>
      <w:r w:rsidRPr="001B79CE">
        <w:t>General</w:t>
      </w:r>
      <w:bookmarkEnd w:id="73"/>
    </w:p>
    <w:p w14:paraId="11622E7E" w14:textId="77777777" w:rsidR="00C73318" w:rsidRPr="00C73318" w:rsidRDefault="00C73318" w:rsidP="00465D15"/>
    <w:p w14:paraId="707CB71D" w14:textId="6B0AA31B" w:rsidR="004F58C6" w:rsidRDefault="009C08CE" w:rsidP="009C08CE">
      <w:pPr>
        <w:jc w:val="both"/>
      </w:pPr>
      <w:r>
        <w:t>Th</w:t>
      </w:r>
      <w:r w:rsidR="00293608">
        <w:t>e</w:t>
      </w:r>
      <w:r>
        <w:t xml:space="preserve"> SBSP is “streamlined” because it provides the minimal set of security services to assure the confidentiality or integrity of blocks in a bundle for common operational scenarios</w:t>
      </w:r>
      <w:r w:rsidR="00DD1FAB">
        <w:t xml:space="preserve"> [C1</w:t>
      </w:r>
      <w:proofErr w:type="gramStart"/>
      <w:r w:rsidR="00DD1FAB">
        <w:t>,C2</w:t>
      </w:r>
      <w:proofErr w:type="gramEnd"/>
      <w:r w:rsidR="00DD1FAB">
        <w:t>]</w:t>
      </w:r>
      <w:r>
        <w:t xml:space="preserve">. </w:t>
      </w:r>
    </w:p>
    <w:p w14:paraId="74BF8457" w14:textId="77777777" w:rsidR="004F58C6" w:rsidRDefault="004F58C6" w:rsidP="009C08CE">
      <w:pPr>
        <w:jc w:val="both"/>
      </w:pPr>
    </w:p>
    <w:p w14:paraId="574C90C1" w14:textId="10F07B86" w:rsidR="009C08CE" w:rsidRDefault="009C08CE" w:rsidP="009C08CE">
      <w:pPr>
        <w:jc w:val="both"/>
      </w:pPr>
      <w:r>
        <w:t>Specifically, the SBSP provides the following capabilities.</w:t>
      </w:r>
    </w:p>
    <w:p w14:paraId="2F5A1C8C" w14:textId="48BDAF84" w:rsidR="009C08CE" w:rsidRDefault="009C08CE" w:rsidP="00C818EF">
      <w:pPr>
        <w:pStyle w:val="ListParagraph"/>
        <w:numPr>
          <w:ilvl w:val="0"/>
          <w:numId w:val="24"/>
        </w:numPr>
        <w:pPrChange w:id="83" w:author="Birrane, Edward J." w:date="2020-05-01T17:51:00Z">
          <w:pPr>
            <w:pStyle w:val="ListParagraph"/>
            <w:numPr>
              <w:numId w:val="83"/>
            </w:numPr>
            <w:tabs>
              <w:tab w:val="num" w:pos="360"/>
            </w:tabs>
          </w:pPr>
        </w:pPrChange>
      </w:pPr>
      <w:r>
        <w:t>A</w:t>
      </w:r>
      <w:r w:rsidR="005E3322">
        <w:t xml:space="preserve"> security block may </w:t>
      </w:r>
      <w:r>
        <w:t>be added to a bundl</w:t>
      </w:r>
      <w:r w:rsidR="00C34F8C">
        <w:t>e by the same BPA that added its</w:t>
      </w:r>
      <w:r>
        <w:t xml:space="preserve"> target block to the bundle</w:t>
      </w:r>
      <w:r w:rsidR="0003531A">
        <w:t>;</w:t>
      </w:r>
    </w:p>
    <w:p w14:paraId="31648BF8" w14:textId="77777777" w:rsidR="00C52D97" w:rsidRDefault="00C52D97" w:rsidP="00465D15">
      <w:pPr>
        <w:pStyle w:val="ListParagraph"/>
      </w:pPr>
    </w:p>
    <w:p w14:paraId="741D8D9C" w14:textId="38E1004F" w:rsidR="0003531A" w:rsidRDefault="009C08CE" w:rsidP="00C818EF">
      <w:pPr>
        <w:pStyle w:val="ListParagraph"/>
        <w:numPr>
          <w:ilvl w:val="0"/>
          <w:numId w:val="24"/>
        </w:numPr>
        <w:pPrChange w:id="84" w:author="Birrane, Edward J." w:date="2020-05-01T17:51:00Z">
          <w:pPr>
            <w:pStyle w:val="ListParagraph"/>
            <w:numPr>
              <w:numId w:val="83"/>
            </w:numPr>
            <w:tabs>
              <w:tab w:val="num" w:pos="360"/>
            </w:tabs>
          </w:pPr>
        </w:pPrChange>
      </w:pPr>
      <w:r>
        <w:t xml:space="preserve">A security block may be added to a bundle </w:t>
      </w:r>
      <w:r w:rsidR="0003531A">
        <w:t>if there is only one instance of the target block’s block type in the bundle;</w:t>
      </w:r>
    </w:p>
    <w:p w14:paraId="506AF01D" w14:textId="77777777" w:rsidR="0003531A" w:rsidRDefault="0003531A" w:rsidP="00465D15">
      <w:pPr>
        <w:pStyle w:val="ListParagraph"/>
      </w:pPr>
    </w:p>
    <w:p w14:paraId="2F05F7EF" w14:textId="188C13D6" w:rsidR="009C08CE" w:rsidRDefault="0003531A" w:rsidP="00C818EF">
      <w:pPr>
        <w:pStyle w:val="ListParagraph"/>
        <w:numPr>
          <w:ilvl w:val="0"/>
          <w:numId w:val="24"/>
        </w:numPr>
        <w:pPrChange w:id="85" w:author="Birrane, Edward J." w:date="2020-05-01T17:51:00Z">
          <w:pPr>
            <w:pStyle w:val="ListParagraph"/>
            <w:numPr>
              <w:numId w:val="83"/>
            </w:numPr>
            <w:tabs>
              <w:tab w:val="num" w:pos="360"/>
            </w:tabs>
          </w:pPr>
        </w:pPrChange>
      </w:pPr>
      <w:r>
        <w:t>A security block may be added to a bundle if its target block is not the target of any other security block in the bundle.</w:t>
      </w:r>
    </w:p>
    <w:p w14:paraId="38EF8979" w14:textId="77777777" w:rsidR="00970C5E" w:rsidRDefault="00970C5E" w:rsidP="00465D15">
      <w:pPr>
        <w:pStyle w:val="ListParagraph"/>
      </w:pPr>
    </w:p>
    <w:p w14:paraId="50E1B67B" w14:textId="437FAA7A" w:rsidR="00970C5E" w:rsidRDefault="00970C5E" w:rsidP="00C818EF">
      <w:pPr>
        <w:pStyle w:val="ListParagraph"/>
        <w:numPr>
          <w:ilvl w:val="0"/>
          <w:numId w:val="24"/>
        </w:numPr>
        <w:pPrChange w:id="86" w:author="Birrane, Edward J." w:date="2020-05-01T17:51:00Z">
          <w:pPr>
            <w:pStyle w:val="ListParagraph"/>
            <w:numPr>
              <w:numId w:val="83"/>
            </w:numPr>
            <w:tabs>
              <w:tab w:val="num" w:pos="360"/>
            </w:tabs>
          </w:pPr>
        </w:pPrChange>
      </w:pPr>
      <w:r>
        <w:t>Multiple security blocks of the same block type may exist in a bundle.</w:t>
      </w:r>
    </w:p>
    <w:p w14:paraId="130553D5" w14:textId="77777777" w:rsidR="009C08CE" w:rsidRDefault="009C08CE" w:rsidP="009C08CE">
      <w:pPr>
        <w:jc w:val="both"/>
      </w:pPr>
    </w:p>
    <w:p w14:paraId="4E6DDB35" w14:textId="77777777" w:rsidR="009C08CE" w:rsidRPr="00B10280" w:rsidRDefault="009C08CE" w:rsidP="00465D15">
      <w:pPr>
        <w:ind w:left="900" w:hanging="900"/>
        <w:jc w:val="both"/>
      </w:pPr>
      <w:r>
        <w:lastRenderedPageBreak/>
        <w:t>NOTE – It is anticipated that future security specifications will define additional security extension blocks and processing associated with those blocks to provide more complex security services for more complex operating scenarios.</w:t>
      </w:r>
    </w:p>
    <w:p w14:paraId="396E4F06" w14:textId="77777777" w:rsidR="009C08CE" w:rsidRDefault="009C08CE" w:rsidP="00332FF3"/>
    <w:p w14:paraId="1F86FDDA" w14:textId="7A56DF59" w:rsidR="00C14305" w:rsidRDefault="00314BDF" w:rsidP="00465D15">
      <w:pPr>
        <w:jc w:val="both"/>
      </w:pPr>
      <w:r>
        <w:t>The CCSDS systems engineering area’s security working group (SEA-SEC) has developed a suite of documents to assist mission planners with planning &amp; assessment, design, and implementation of security measures for CCSDS missions.  In that context, this specification is an implementation document for which a companion design document (Green Book) is planned.</w:t>
      </w:r>
    </w:p>
    <w:p w14:paraId="35BC72EA" w14:textId="5A336A38" w:rsidR="00C14305" w:rsidRDefault="00C14305" w:rsidP="00D86509">
      <w:pPr>
        <w:pStyle w:val="Heading3"/>
      </w:pPr>
      <w:r>
        <w:t>Block-Level granularity</w:t>
      </w:r>
    </w:p>
    <w:p w14:paraId="017ED9D0" w14:textId="34EC4106" w:rsidR="00C14305" w:rsidRDefault="00C14305" w:rsidP="00465D15"/>
    <w:p w14:paraId="59DBC039" w14:textId="71C34351" w:rsidR="00C14305" w:rsidRDefault="003F2E19" w:rsidP="00465D15">
      <w:pPr>
        <w:jc w:val="both"/>
      </w:pPr>
      <w:r>
        <w:t xml:space="preserve">SBSP </w:t>
      </w:r>
      <w:r w:rsidR="00AA4AC2">
        <w:t>s</w:t>
      </w:r>
      <w:r>
        <w:t>ecurity blocks contain a target block identi</w:t>
      </w:r>
      <w:r w:rsidR="00A927F2">
        <w:t xml:space="preserve">fier. The ability to “target” blocks within a bundle enables these </w:t>
      </w:r>
      <w:r w:rsidR="00C14305">
        <w:t>different blocks to have different security services applied to them.</w:t>
      </w:r>
    </w:p>
    <w:p w14:paraId="5E6A42D1" w14:textId="77777777" w:rsidR="00C14305" w:rsidRDefault="00C14305" w:rsidP="00465D15"/>
    <w:p w14:paraId="5292D5FB" w14:textId="6AFA64E6" w:rsidR="00C14305" w:rsidRDefault="007D3A08" w:rsidP="00465D15">
      <w:pPr>
        <w:ind w:left="990" w:hanging="990"/>
        <w:jc w:val="both"/>
      </w:pPr>
      <w:r>
        <w:t xml:space="preserve">NOTE – </w:t>
      </w:r>
      <w:r w:rsidR="00C14305">
        <w:t>Blocks within a bundle represent</w:t>
      </w:r>
      <w:r w:rsidR="000C5C09">
        <w:t xml:space="preserve"> different types of information and may need different types of security applied to them.</w:t>
      </w:r>
      <w:r w:rsidR="00C14305">
        <w:t xml:space="preserve">  </w:t>
      </w:r>
      <w:r w:rsidR="000C5C09">
        <w:t>A</w:t>
      </w:r>
      <w:r w:rsidR="00C14305">
        <w:t>pplying a single level and type of security across an entire bundle fails to recognize that blocks in a bundle represent different types of information with different security needs.</w:t>
      </w:r>
    </w:p>
    <w:p w14:paraId="09BEEF56" w14:textId="22FDA9BE" w:rsidR="00D86509" w:rsidRDefault="00FD4756" w:rsidP="00D86509">
      <w:pPr>
        <w:pStyle w:val="Heading3"/>
      </w:pPr>
      <w:r>
        <w:t>Deterministic</w:t>
      </w:r>
      <w:r w:rsidR="00D86509">
        <w:t xml:space="preserve"> security sources</w:t>
      </w:r>
    </w:p>
    <w:p w14:paraId="76ECEAC7" w14:textId="77982CFD" w:rsidR="00267E0E" w:rsidRDefault="00267E0E" w:rsidP="00D86509">
      <w:pPr>
        <w:rPr>
          <w:color w:val="000000" w:themeColor="text1"/>
        </w:rPr>
      </w:pPr>
    </w:p>
    <w:p w14:paraId="2382C9AC" w14:textId="2FD374DE" w:rsidR="00D13C4D" w:rsidRPr="00F85314" w:rsidRDefault="0064732F" w:rsidP="00465D15">
      <w:pPr>
        <w:jc w:val="both"/>
        <w:rPr>
          <w:color w:val="000000" w:themeColor="text1"/>
        </w:rPr>
      </w:pPr>
      <w:r>
        <w:rPr>
          <w:color w:val="000000" w:themeColor="text1"/>
        </w:rPr>
        <w:t xml:space="preserve">The SBSP couples the creation of target blocks and the creation of security services for those blocks. Specifically, </w:t>
      </w:r>
      <w:r>
        <w:t xml:space="preserve">a </w:t>
      </w:r>
      <w:r w:rsidR="00D13C4D">
        <w:t xml:space="preserve">security-aware </w:t>
      </w:r>
      <w:r w:rsidR="002C1EA7">
        <w:t>BPA</w:t>
      </w:r>
      <w:r w:rsidR="00D13C4D">
        <w:t xml:space="preserve"> may act as the security source for any security operation that targets a block it has added to the bundle.</w:t>
      </w:r>
    </w:p>
    <w:p w14:paraId="366EE8C1" w14:textId="77777777" w:rsidR="000F77BA" w:rsidRDefault="000F77BA" w:rsidP="00D86509">
      <w:pPr>
        <w:rPr>
          <w:color w:val="000000" w:themeColor="text1"/>
        </w:rPr>
      </w:pPr>
    </w:p>
    <w:p w14:paraId="787B412F" w14:textId="1DD47FA3" w:rsidR="00590DEE" w:rsidRDefault="00590DEE" w:rsidP="00465D15">
      <w:pPr>
        <w:tabs>
          <w:tab w:val="left" w:pos="810"/>
        </w:tabs>
        <w:ind w:left="1080" w:hanging="1080"/>
        <w:jc w:val="both"/>
        <w:rPr>
          <w:color w:val="000000" w:themeColor="text1"/>
        </w:rPr>
      </w:pPr>
      <w:r>
        <w:rPr>
          <w:color w:val="000000" w:themeColor="text1"/>
        </w:rPr>
        <w:t>NOTE</w:t>
      </w:r>
      <w:r>
        <w:rPr>
          <w:color w:val="000000" w:themeColor="text1"/>
        </w:rPr>
        <w:tab/>
      </w:r>
      <w:proofErr w:type="gramStart"/>
      <w:r>
        <w:rPr>
          <w:color w:val="000000" w:themeColor="text1"/>
        </w:rPr>
        <w:t>–  Only</w:t>
      </w:r>
      <w:proofErr w:type="gramEnd"/>
      <w:r>
        <w:rPr>
          <w:color w:val="000000" w:themeColor="text1"/>
        </w:rPr>
        <w:t xml:space="preserve"> the </w:t>
      </w:r>
      <w:r w:rsidR="00A51618">
        <w:rPr>
          <w:color w:val="000000" w:themeColor="text1"/>
        </w:rPr>
        <w:t xml:space="preserve">creator </w:t>
      </w:r>
      <w:r>
        <w:rPr>
          <w:color w:val="000000" w:themeColor="text1"/>
        </w:rPr>
        <w:t xml:space="preserve">of block </w:t>
      </w:r>
      <w:r w:rsidR="00A51618">
        <w:rPr>
          <w:color w:val="000000" w:themeColor="text1"/>
        </w:rPr>
        <w:t xml:space="preserve">in a bundle </w:t>
      </w:r>
      <w:r>
        <w:rPr>
          <w:color w:val="000000" w:themeColor="text1"/>
        </w:rPr>
        <w:t xml:space="preserve">may add a security service </w:t>
      </w:r>
      <w:r w:rsidR="00A51618">
        <w:rPr>
          <w:color w:val="000000" w:themeColor="text1"/>
        </w:rPr>
        <w:t>for</w:t>
      </w:r>
      <w:r>
        <w:rPr>
          <w:color w:val="000000" w:themeColor="text1"/>
        </w:rPr>
        <w:t xml:space="preserve"> that block. If some other node in the network were to apply </w:t>
      </w:r>
      <w:r w:rsidR="00A51618">
        <w:rPr>
          <w:color w:val="000000" w:themeColor="text1"/>
        </w:rPr>
        <w:t xml:space="preserve">a </w:t>
      </w:r>
      <w:r>
        <w:rPr>
          <w:color w:val="000000" w:themeColor="text1"/>
        </w:rPr>
        <w:t>security</w:t>
      </w:r>
      <w:r w:rsidR="00A51618">
        <w:rPr>
          <w:color w:val="000000" w:themeColor="text1"/>
        </w:rPr>
        <w:t xml:space="preserve"> service</w:t>
      </w:r>
      <w:r>
        <w:rPr>
          <w:color w:val="000000" w:themeColor="text1"/>
        </w:rPr>
        <w:t xml:space="preserve"> to a block after it had been transmitted, the contents of the block could have been altered between the time the </w:t>
      </w:r>
      <w:r w:rsidR="00A51618">
        <w:rPr>
          <w:color w:val="000000" w:themeColor="text1"/>
        </w:rPr>
        <w:t>bundle</w:t>
      </w:r>
      <w:r>
        <w:rPr>
          <w:color w:val="000000" w:themeColor="text1"/>
        </w:rPr>
        <w:t xml:space="preserve"> was </w:t>
      </w:r>
      <w:r w:rsidR="00A51618">
        <w:rPr>
          <w:color w:val="000000" w:themeColor="text1"/>
        </w:rPr>
        <w:t>transmitted</w:t>
      </w:r>
      <w:r>
        <w:rPr>
          <w:color w:val="000000" w:themeColor="text1"/>
        </w:rPr>
        <w:t xml:space="preserve"> and the time </w:t>
      </w:r>
      <w:r w:rsidR="00A51618">
        <w:rPr>
          <w:color w:val="000000" w:themeColor="text1"/>
        </w:rPr>
        <w:t xml:space="preserve">it was received by </w:t>
      </w:r>
      <w:r w:rsidR="00E32A1C">
        <w:rPr>
          <w:color w:val="000000" w:themeColor="text1"/>
        </w:rPr>
        <w:t>a downstream</w:t>
      </w:r>
      <w:r w:rsidR="00A51618">
        <w:rPr>
          <w:color w:val="000000" w:themeColor="text1"/>
        </w:rPr>
        <w:t xml:space="preserve"> node. </w:t>
      </w:r>
    </w:p>
    <w:p w14:paraId="59B37B0B" w14:textId="77777777" w:rsidR="00A51618" w:rsidRDefault="00A51618" w:rsidP="00465D15">
      <w:pPr>
        <w:tabs>
          <w:tab w:val="left" w:pos="810"/>
        </w:tabs>
        <w:ind w:left="1080" w:hanging="1080"/>
        <w:jc w:val="both"/>
        <w:rPr>
          <w:color w:val="000000" w:themeColor="text1"/>
        </w:rPr>
      </w:pPr>
    </w:p>
    <w:p w14:paraId="201B9326" w14:textId="5E372796" w:rsidR="00A64632" w:rsidRDefault="00936AEC" w:rsidP="00465D15">
      <w:pPr>
        <w:ind w:left="900" w:hanging="900"/>
        <w:jc w:val="both"/>
      </w:pPr>
      <w:r>
        <w:rPr>
          <w:color w:val="000000" w:themeColor="text1"/>
        </w:rPr>
        <w:t>NOTE</w:t>
      </w:r>
      <w:r w:rsidR="000F77BA">
        <w:rPr>
          <w:color w:val="000000" w:themeColor="text1"/>
        </w:rPr>
        <w:t xml:space="preserve"> –</w:t>
      </w:r>
      <w:r w:rsidR="002B4944">
        <w:rPr>
          <w:color w:val="000000" w:themeColor="text1"/>
        </w:rPr>
        <w:t xml:space="preserve"> </w:t>
      </w:r>
      <w:r w:rsidR="000F77BA">
        <w:t xml:space="preserve">The </w:t>
      </w:r>
      <w:r>
        <w:t>Bundle Protocol allows extension blocks to be added to a bundle at any time during its existence in the DTN</w:t>
      </w:r>
      <w:r w:rsidR="000F77BA">
        <w:t xml:space="preserve">. </w:t>
      </w:r>
      <w:r w:rsidR="00A64632">
        <w:t xml:space="preserve">Therefore, a downstream node may add a security service to an extension block that it adds to the bundle, even though that node is not the source of the bundle. </w:t>
      </w:r>
    </w:p>
    <w:p w14:paraId="51D4F0FD" w14:textId="48B391A8" w:rsidR="00260024" w:rsidRDefault="00260024" w:rsidP="00465D15">
      <w:pPr>
        <w:ind w:left="900" w:hanging="900"/>
        <w:jc w:val="both"/>
      </w:pPr>
    </w:p>
    <w:p w14:paraId="2BE7B18D" w14:textId="1D7D8DF9" w:rsidR="00260024" w:rsidRDefault="00260024" w:rsidP="00465D15">
      <w:pPr>
        <w:ind w:left="900" w:hanging="900"/>
        <w:jc w:val="both"/>
      </w:pPr>
      <w:r>
        <w:t>NOTE – The security so</w:t>
      </w:r>
      <w:r w:rsidR="00C11DFF">
        <w:t xml:space="preserve">urce can be inferred in </w:t>
      </w:r>
      <w:r>
        <w:t>circumstances</w:t>
      </w:r>
      <w:r w:rsidR="00C11DFF">
        <w:t xml:space="preserve"> where the creator of its target block can be inferred</w:t>
      </w:r>
      <w:r>
        <w:t xml:space="preserve">; </w:t>
      </w:r>
      <w:r w:rsidR="00613F8A">
        <w:t xml:space="preserve">For example, </w:t>
      </w:r>
      <w:r>
        <w:t xml:space="preserve">the security source of the primary block and the payload block </w:t>
      </w:r>
      <w:r w:rsidR="00B65812">
        <w:t>must be</w:t>
      </w:r>
      <w:r>
        <w:t xml:space="preserve"> the bundle source because only the bundle source can add these blocks to the bundle.</w:t>
      </w:r>
    </w:p>
    <w:p w14:paraId="46279EA3" w14:textId="77777777" w:rsidR="00A64632" w:rsidRDefault="00A64632" w:rsidP="00465D15">
      <w:pPr>
        <w:ind w:left="900" w:hanging="900"/>
        <w:jc w:val="both"/>
      </w:pPr>
    </w:p>
    <w:p w14:paraId="63B1C054" w14:textId="1F04CEED" w:rsidR="00D86509" w:rsidRDefault="006903B2" w:rsidP="00465D15">
      <w:pPr>
        <w:pStyle w:val="Heading3"/>
      </w:pPr>
      <w:r>
        <w:t>Adaptive</w:t>
      </w:r>
      <w:r w:rsidR="00D86509">
        <w:t xml:space="preserve"> security policy</w:t>
      </w:r>
    </w:p>
    <w:p w14:paraId="1A955790" w14:textId="77777777" w:rsidR="00CD4736" w:rsidRDefault="00CD4736" w:rsidP="00CD4736">
      <w:pPr>
        <w:rPr>
          <w:rFonts w:ascii="Calibri" w:hAnsi="Calibri"/>
          <w:color w:val="000000"/>
        </w:rPr>
      </w:pPr>
    </w:p>
    <w:p w14:paraId="25915393" w14:textId="4FCA0F8C" w:rsidR="00E538A9" w:rsidRDefault="00E538A9">
      <w:pPr>
        <w:jc w:val="both"/>
        <w:rPr>
          <w:color w:val="000000"/>
        </w:rPr>
      </w:pPr>
      <w:r>
        <w:rPr>
          <w:color w:val="000000"/>
        </w:rPr>
        <w:t xml:space="preserve">SBSP blocks do not </w:t>
      </w:r>
      <w:r w:rsidR="0007265E">
        <w:rPr>
          <w:color w:val="000000"/>
        </w:rPr>
        <w:t>specify</w:t>
      </w:r>
      <w:r>
        <w:rPr>
          <w:color w:val="000000"/>
        </w:rPr>
        <w:t xml:space="preserve"> the BPA</w:t>
      </w:r>
      <w:r w:rsidR="000F7B00">
        <w:rPr>
          <w:color w:val="000000"/>
        </w:rPr>
        <w:t>s</w:t>
      </w:r>
      <w:r>
        <w:rPr>
          <w:color w:val="000000"/>
        </w:rPr>
        <w:t xml:space="preserve"> that serve as their security </w:t>
      </w:r>
      <w:r w:rsidR="000F7B00">
        <w:rPr>
          <w:color w:val="000000"/>
        </w:rPr>
        <w:t xml:space="preserve">verifiers or </w:t>
      </w:r>
      <w:r>
        <w:rPr>
          <w:color w:val="000000"/>
        </w:rPr>
        <w:t>acceptor</w:t>
      </w:r>
      <w:r w:rsidR="000F7B00">
        <w:rPr>
          <w:color w:val="000000"/>
        </w:rPr>
        <w:t>s</w:t>
      </w:r>
      <w:r>
        <w:rPr>
          <w:color w:val="000000"/>
        </w:rPr>
        <w:t xml:space="preserve">. </w:t>
      </w:r>
    </w:p>
    <w:p w14:paraId="15C34E4C" w14:textId="009F6453" w:rsidR="00AD47A2" w:rsidRDefault="00AD47A2">
      <w:pPr>
        <w:jc w:val="both"/>
        <w:rPr>
          <w:color w:val="000000"/>
        </w:rPr>
      </w:pPr>
    </w:p>
    <w:p w14:paraId="71C60BF0" w14:textId="77777777" w:rsidR="00AD47A2" w:rsidRDefault="00AD47A2" w:rsidP="00AD47A2">
      <w:r>
        <w:t>NOTES</w:t>
      </w:r>
    </w:p>
    <w:p w14:paraId="55C4F0D8" w14:textId="77777777" w:rsidR="00AD47A2" w:rsidRDefault="00AD47A2" w:rsidP="00AD47A2"/>
    <w:p w14:paraId="7F5875A4" w14:textId="3D0D9874" w:rsidR="00AD47A2" w:rsidRDefault="00AD47A2" w:rsidP="00AD47A2">
      <w:pPr>
        <w:ind w:left="720" w:hanging="720"/>
      </w:pPr>
      <w:r>
        <w:t>1</w:t>
      </w:r>
      <w:r>
        <w:tab/>
      </w:r>
      <w:r>
        <w:rPr>
          <w:color w:val="000000"/>
        </w:rPr>
        <w:t>The topology of a DTN is expected to evolve over time and the security capabilities of bundle nodes may change after a bundle has been created by, and transmitted from, its bundle source</w:t>
      </w:r>
      <w:r>
        <w:t>.</w:t>
      </w:r>
    </w:p>
    <w:p w14:paraId="7FA61959" w14:textId="77777777" w:rsidR="00AD47A2" w:rsidRDefault="00AD47A2" w:rsidP="00AD47A2">
      <w:pPr>
        <w:ind w:left="720" w:hanging="720"/>
      </w:pPr>
    </w:p>
    <w:p w14:paraId="22276671" w14:textId="525E4128" w:rsidR="00AD47A2" w:rsidRDefault="00AD47A2" w:rsidP="00AD47A2">
      <w:pPr>
        <w:ind w:left="720" w:hanging="720"/>
      </w:pPr>
      <w:r>
        <w:t>2</w:t>
      </w:r>
      <w:r>
        <w:tab/>
      </w:r>
      <w:r>
        <w:rPr>
          <w:color w:val="000000"/>
        </w:rPr>
        <w:t>BPAs that implement the SBSP determine whether they should be processing security blocks as part of their local BPA configuration and policy. The determination of which nodes are security acceptors and which nodes are security verifies is made by the nodes themselves, and not by the SBSP</w:t>
      </w:r>
      <w:r>
        <w:t>.</w:t>
      </w:r>
    </w:p>
    <w:p w14:paraId="767A7368" w14:textId="1CADF3A3" w:rsidR="00FE466D" w:rsidRPr="00C302A7" w:rsidRDefault="00FE466D" w:rsidP="009E6528"/>
    <w:p w14:paraId="175BE417" w14:textId="7806FC88" w:rsidR="00332FF3" w:rsidRDefault="00B14D2F" w:rsidP="00465D15">
      <w:pPr>
        <w:pStyle w:val="Heading3"/>
      </w:pPr>
      <w:bookmarkStart w:id="87" w:name="_Toc350520800"/>
      <w:r>
        <w:t xml:space="preserve">Multiple </w:t>
      </w:r>
      <w:bookmarkEnd w:id="87"/>
      <w:r w:rsidR="006F4DFD">
        <w:t>Security Contexts</w:t>
      </w:r>
    </w:p>
    <w:p w14:paraId="61B93FF5" w14:textId="543858F5" w:rsidR="00B14D2F" w:rsidRDefault="00B14D2F" w:rsidP="000F4F8B"/>
    <w:p w14:paraId="6BD9CD7D" w14:textId="42ED6918" w:rsidR="0098089C" w:rsidRDefault="0098089C" w:rsidP="00465D15">
      <w:pPr>
        <w:jc w:val="both"/>
      </w:pPr>
      <w:r>
        <w:t xml:space="preserve">SBSP defines security contexts as a way of differentiating multiple uses of cipher suites based on operational scenarios in a DTN. </w:t>
      </w:r>
    </w:p>
    <w:p w14:paraId="28E59743" w14:textId="116955A7" w:rsidR="0098089C" w:rsidRDefault="0098089C" w:rsidP="00465D15">
      <w:pPr>
        <w:jc w:val="both"/>
      </w:pPr>
    </w:p>
    <w:p w14:paraId="1107A543" w14:textId="4CC3A8EE" w:rsidR="0098089C" w:rsidRDefault="009A47EE" w:rsidP="00465D15">
      <w:pPr>
        <w:tabs>
          <w:tab w:val="left" w:pos="810"/>
        </w:tabs>
        <w:ind w:left="1080" w:hanging="1080"/>
        <w:jc w:val="both"/>
      </w:pPr>
      <w:r>
        <w:t xml:space="preserve">NOTE </w:t>
      </w:r>
      <w:r>
        <w:tab/>
        <w:t xml:space="preserve">– </w:t>
      </w:r>
      <w:r w:rsidR="0098089C">
        <w:t xml:space="preserve"> </w:t>
      </w:r>
      <w:r>
        <w:t xml:space="preserve"> </w:t>
      </w:r>
      <w:r w:rsidR="0098089C">
        <w:t xml:space="preserve">For example, one mission may use a 256-bit Advanced Encryption Standard (AES) cipher suite for confidentiality with a negotiated security association identifier (SAID). In this case, at most the SAID must be communicated to process security at a security acceptor. Another mission may use the same 256-bit AES cipher without the ability to negotiate (or sustain) a security association. In this case, cipher suite parameters may be encoded with a symmetric key and included in the security block. In both cases, the same cipher suite is used, but the security context surrounding the cipher suite is very different. </w:t>
      </w:r>
    </w:p>
    <w:p w14:paraId="57005CBD" w14:textId="77777777" w:rsidR="0098089C" w:rsidRDefault="0098089C" w:rsidP="00465D15">
      <w:pPr>
        <w:jc w:val="both"/>
      </w:pPr>
    </w:p>
    <w:p w14:paraId="10B984BA" w14:textId="38D55990" w:rsidR="00B14D2F" w:rsidRDefault="00B14D2F" w:rsidP="00465D15">
      <w:pPr>
        <w:jc w:val="both"/>
      </w:pPr>
      <w:r>
        <w:t xml:space="preserve">SBSP security blocks identify the </w:t>
      </w:r>
      <w:r w:rsidR="006F4DFD">
        <w:t>security context</w:t>
      </w:r>
      <w:r>
        <w:t xml:space="preserve"> used in the generation of</w:t>
      </w:r>
      <w:r w:rsidR="006F4DFD">
        <w:t xml:space="preserve"> their cryptographic materials.</w:t>
      </w:r>
    </w:p>
    <w:p w14:paraId="1DADFC6E" w14:textId="4B031C40" w:rsidR="00B14D2F" w:rsidRDefault="00B14D2F" w:rsidP="000F4F8B"/>
    <w:p w14:paraId="5F44E88E" w14:textId="77777777" w:rsidR="00850141" w:rsidRDefault="00850141" w:rsidP="00850141">
      <w:r>
        <w:t>NOTES</w:t>
      </w:r>
    </w:p>
    <w:p w14:paraId="719A8419" w14:textId="77777777" w:rsidR="00850141" w:rsidRDefault="00850141" w:rsidP="00850141"/>
    <w:p w14:paraId="4FCA9E3B" w14:textId="5038402C" w:rsidR="00850141" w:rsidRDefault="00850141" w:rsidP="00850141">
      <w:pPr>
        <w:ind w:left="720" w:hanging="720"/>
      </w:pPr>
      <w:r>
        <w:t>1</w:t>
      </w:r>
      <w:r>
        <w:tab/>
        <w:t xml:space="preserve">This feature allows different SBSP security blocks to use different </w:t>
      </w:r>
      <w:r w:rsidR="003B7A82">
        <w:t>security contexts. This may include contexts that utilize different cipher suites</w:t>
      </w:r>
      <w:r>
        <w:t xml:space="preserve"> or the same cipher suite</w:t>
      </w:r>
      <w:r w:rsidR="003B7A82">
        <w:t>s</w:t>
      </w:r>
      <w:r>
        <w:t xml:space="preserve"> operating in different modes</w:t>
      </w:r>
      <w:r w:rsidR="003B7A82">
        <w:t xml:space="preserve"> or with different configurations.</w:t>
      </w:r>
    </w:p>
    <w:p w14:paraId="2B250DAF" w14:textId="77777777" w:rsidR="00850141" w:rsidRDefault="00850141" w:rsidP="00850141">
      <w:pPr>
        <w:ind w:left="720" w:hanging="720"/>
      </w:pPr>
    </w:p>
    <w:p w14:paraId="65C1BFE9" w14:textId="7E8EFECD" w:rsidR="00332FF3" w:rsidRDefault="00850141" w:rsidP="00465D15">
      <w:pPr>
        <w:ind w:left="720" w:hanging="720"/>
      </w:pPr>
      <w:r>
        <w:t>2</w:t>
      </w:r>
      <w:r>
        <w:tab/>
      </w:r>
      <w:r w:rsidRPr="00AF4286">
        <w:t xml:space="preserve">CCSDS recommended cipher suites as </w:t>
      </w:r>
      <w:r w:rsidRPr="00644A25">
        <w:t>specified in [</w:t>
      </w:r>
      <w:r w:rsidRPr="00644A25">
        <w:fldChar w:fldCharType="begin"/>
      </w:r>
      <w:r w:rsidRPr="00C25F3B">
        <w:instrText xml:space="preserve"> REF R_352x0b2CCSDSCryptographicAlgorithms \h </w:instrText>
      </w:r>
      <w:r w:rsidRPr="00A96546">
        <w:instrText xml:space="preserve"> \* MERGEFORMAT </w:instrText>
      </w:r>
      <w:r w:rsidRPr="00644A25">
        <w:fldChar w:fldCharType="separate"/>
      </w:r>
      <w:r w:rsidRPr="000F4F8B">
        <w:t>2</w:t>
      </w:r>
      <w:r w:rsidRPr="00644A25">
        <w:fldChar w:fldCharType="end"/>
      </w:r>
      <w:r w:rsidRPr="00644A25">
        <w:t xml:space="preserve">] </w:t>
      </w:r>
      <w:r>
        <w:t>should</w:t>
      </w:r>
      <w:r w:rsidRPr="00AF4286">
        <w:t xml:space="preserve"> be used </w:t>
      </w:r>
      <w:r w:rsidR="002D2B03">
        <w:t xml:space="preserve">in the definition of security contexts </w:t>
      </w:r>
      <w:r w:rsidRPr="00AF4286">
        <w:t>unless a specific reason exists that does not allow th</w:t>
      </w:r>
      <w:r>
        <w:t>em.</w:t>
      </w:r>
    </w:p>
    <w:p w14:paraId="2353A448" w14:textId="77777777" w:rsidR="005464B3" w:rsidRDefault="005464B3" w:rsidP="005464B3">
      <w:pPr>
        <w:sectPr w:rsidR="005464B3" w:rsidSect="00A32DEB">
          <w:type w:val="continuous"/>
          <w:pgSz w:w="12240" w:h="15840"/>
          <w:pgMar w:top="1440" w:right="1440" w:bottom="1440" w:left="1440" w:header="547" w:footer="547" w:gutter="360"/>
          <w:pgNumType w:start="1" w:chapStyle="1"/>
          <w:cols w:space="720"/>
          <w:docGrid w:linePitch="360"/>
        </w:sectPr>
      </w:pPr>
    </w:p>
    <w:p w14:paraId="5AD21DEB" w14:textId="77777777" w:rsidR="005464B3" w:rsidRDefault="005464B3" w:rsidP="00485F2A">
      <w:pPr>
        <w:pStyle w:val="Heading1"/>
      </w:pPr>
      <w:bookmarkStart w:id="88" w:name="_Toc38644009"/>
      <w:bookmarkStart w:id="89" w:name="_Toc39246846"/>
      <w:commentRangeStart w:id="90"/>
      <w:r>
        <w:lastRenderedPageBreak/>
        <w:t xml:space="preserve">Service </w:t>
      </w:r>
      <w:r w:rsidRPr="00485F2A">
        <w:t>Definition</w:t>
      </w:r>
      <w:commentRangeEnd w:id="90"/>
      <w:r w:rsidRPr="00485F2A">
        <w:rPr>
          <w:rStyle w:val="CommentReference"/>
          <w:sz w:val="28"/>
          <w:szCs w:val="20"/>
        </w:rPr>
        <w:commentReference w:id="90"/>
      </w:r>
      <w:bookmarkEnd w:id="88"/>
      <w:bookmarkEnd w:id="89"/>
    </w:p>
    <w:p w14:paraId="49D2B050" w14:textId="77777777" w:rsidR="005464B3" w:rsidRDefault="005464B3" w:rsidP="005464B3">
      <w:pPr>
        <w:pStyle w:val="Heading2"/>
        <w:numPr>
          <w:ilvl w:val="1"/>
          <w:numId w:val="1"/>
        </w:numPr>
      </w:pPr>
      <w:bookmarkStart w:id="91" w:name="_Toc38644010"/>
      <w:bookmarkStart w:id="92" w:name="_Toc39246847"/>
      <w:r>
        <w:t>Overview</w:t>
      </w:r>
      <w:bookmarkEnd w:id="91"/>
      <w:bookmarkEnd w:id="92"/>
    </w:p>
    <w:p w14:paraId="32C2D524" w14:textId="77777777" w:rsidR="005464B3" w:rsidRDefault="005464B3" w:rsidP="005464B3"/>
    <w:p w14:paraId="77778504" w14:textId="77777777" w:rsidR="005464B3" w:rsidRDefault="005464B3" w:rsidP="00465D15">
      <w:pPr>
        <w:jc w:val="both"/>
      </w:pPr>
      <w:r>
        <w:t xml:space="preserve">This section provides the service definition for the SBSP. </w:t>
      </w:r>
    </w:p>
    <w:p w14:paraId="3F36DA79" w14:textId="77777777" w:rsidR="005464B3" w:rsidRDefault="005464B3" w:rsidP="005464B3"/>
    <w:p w14:paraId="36681CB7" w14:textId="6186CE1F" w:rsidR="005464B3" w:rsidRDefault="005464B3" w:rsidP="00465D15">
      <w:pPr>
        <w:jc w:val="both"/>
      </w:pPr>
      <w:r>
        <w:t>The services that the SBSP provides t</w:t>
      </w:r>
      <w:r w:rsidR="007F0476">
        <w:t>o the Bundle Protocol are represented</w:t>
      </w:r>
      <w:r>
        <w:t xml:space="preserve"> as functions</w:t>
      </w:r>
      <w:r w:rsidR="007F0476">
        <w:t xml:space="preserve"> and defined</w:t>
      </w:r>
      <w:r>
        <w:t xml:space="preserve"> as follows.</w:t>
      </w:r>
    </w:p>
    <w:p w14:paraId="53225A44" w14:textId="77777777" w:rsidR="005464B3" w:rsidRDefault="005464B3" w:rsidP="005464B3"/>
    <w:p w14:paraId="67EDCEF9" w14:textId="77777777" w:rsidR="005464B3" w:rsidRDefault="005464B3" w:rsidP="005464B3">
      <w:pPr>
        <w:ind w:left="720" w:hanging="360"/>
      </w:pPr>
      <w:r>
        <w:t xml:space="preserve">(a) </w:t>
      </w:r>
      <w:proofErr w:type="spellStart"/>
      <w:r>
        <w:t>ApplyIntegrity</w:t>
      </w:r>
      <w:proofErr w:type="spellEnd"/>
      <w:r>
        <w:t xml:space="preserve"> </w:t>
      </w:r>
    </w:p>
    <w:p w14:paraId="292A125B" w14:textId="77777777" w:rsidR="005464B3" w:rsidRDefault="005464B3" w:rsidP="005464B3">
      <w:pPr>
        <w:ind w:left="720" w:hanging="360"/>
      </w:pPr>
      <w:r>
        <w:t xml:space="preserve">(b) ApplyConfidentiality </w:t>
      </w:r>
    </w:p>
    <w:p w14:paraId="4E0EF61D" w14:textId="77777777" w:rsidR="005464B3" w:rsidRDefault="005464B3" w:rsidP="005464B3">
      <w:pPr>
        <w:ind w:left="720" w:hanging="360"/>
      </w:pPr>
      <w:r>
        <w:t xml:space="preserve">(c) </w:t>
      </w:r>
      <w:proofErr w:type="spellStart"/>
      <w:r>
        <w:t>VerifyIntegrity</w:t>
      </w:r>
      <w:proofErr w:type="spellEnd"/>
      <w:r>
        <w:t xml:space="preserve"> </w:t>
      </w:r>
    </w:p>
    <w:p w14:paraId="2F049432" w14:textId="3B73163D" w:rsidR="005464B3" w:rsidRDefault="005464B3" w:rsidP="005464B3">
      <w:pPr>
        <w:ind w:left="720" w:hanging="360"/>
      </w:pPr>
      <w:r>
        <w:t xml:space="preserve">(d) </w:t>
      </w:r>
      <w:r w:rsidR="00294D99">
        <w:t>AcceptIntegrity</w:t>
      </w:r>
      <w:r>
        <w:t xml:space="preserve"> </w:t>
      </w:r>
    </w:p>
    <w:p w14:paraId="5DB61DF3" w14:textId="75B9D388" w:rsidR="005464B3" w:rsidRDefault="005464B3" w:rsidP="005464B3">
      <w:pPr>
        <w:ind w:left="720" w:hanging="360"/>
      </w:pPr>
      <w:r>
        <w:t xml:space="preserve">(e) </w:t>
      </w:r>
      <w:r w:rsidR="00294D99">
        <w:t>AcceptConfidentiality</w:t>
      </w:r>
    </w:p>
    <w:p w14:paraId="2EA7E0AD" w14:textId="77777777" w:rsidR="005464B3" w:rsidRDefault="005464B3" w:rsidP="005464B3"/>
    <w:p w14:paraId="6914E755" w14:textId="77777777" w:rsidR="002B0940" w:rsidRDefault="002B0940" w:rsidP="002B0940">
      <w:pPr>
        <w:jc w:val="both"/>
      </w:pPr>
      <w:r>
        <w:t xml:space="preserve">The definitions of these functions are logical and do not pre-suppose any specific BPA, security context definition, or cipher suite implementation. Function behaviors do not presuppose any configuration approach, policy approach, or method for generating cryptographic material. </w:t>
      </w:r>
    </w:p>
    <w:p w14:paraId="672FB4E4" w14:textId="77777777" w:rsidR="005464B3" w:rsidRDefault="005464B3" w:rsidP="005464B3">
      <w:pPr>
        <w:tabs>
          <w:tab w:val="left" w:pos="810"/>
        </w:tabs>
      </w:pPr>
    </w:p>
    <w:p w14:paraId="2C3B7242" w14:textId="77777777" w:rsidR="005464B3" w:rsidRDefault="005464B3" w:rsidP="00465D15">
      <w:pPr>
        <w:tabs>
          <w:tab w:val="left" w:pos="810"/>
        </w:tabs>
        <w:jc w:val="both"/>
      </w:pPr>
      <w:r>
        <w:t xml:space="preserve">This specification allows for the concurrent execution of these functions such that one function can be started prior to some other function completing, regardless of whether these functions operate on different blocks within a bundle or different bundles within the BPA. </w:t>
      </w:r>
    </w:p>
    <w:p w14:paraId="7F9B293C" w14:textId="77777777" w:rsidR="005464B3" w:rsidRDefault="005464B3" w:rsidP="005464B3"/>
    <w:p w14:paraId="7E89EC23" w14:textId="77777777" w:rsidR="005464B3" w:rsidRDefault="005464B3" w:rsidP="00465D15">
      <w:pPr>
        <w:jc w:val="both"/>
      </w:pPr>
      <w:r w:rsidRPr="00553264">
        <w:t xml:space="preserve">The parameters for these functions are </w:t>
      </w:r>
      <w:r>
        <w:t>documented</w:t>
      </w:r>
      <w:r w:rsidRPr="00553264">
        <w:t xml:space="preserve"> in an abstract sense and specify the information passed</w:t>
      </w:r>
      <w:r>
        <w:t xml:space="preserve"> between the BPA entity that calls the function and the SBSP entity that executes the function. The way in which a specific implementation makes this information available is not constrained by this specification. In addition to the parameters specified in this section, an implementation may provide other parameters on the function interface (e.g., parameters for controlling the service, monitoring performance, diagnosis, and so on). </w:t>
      </w:r>
    </w:p>
    <w:p w14:paraId="0C34F8F9" w14:textId="77777777" w:rsidR="005464B3" w:rsidRDefault="005464B3" w:rsidP="005464B3">
      <w:pPr>
        <w:tabs>
          <w:tab w:val="left" w:pos="810"/>
        </w:tabs>
      </w:pPr>
    </w:p>
    <w:p w14:paraId="67401E7A" w14:textId="6650D476" w:rsidR="005464B3" w:rsidRDefault="005464B3" w:rsidP="005464B3">
      <w:pPr>
        <w:pStyle w:val="Heading2"/>
        <w:numPr>
          <w:ilvl w:val="1"/>
          <w:numId w:val="1"/>
        </w:numPr>
      </w:pPr>
      <w:bookmarkStart w:id="93" w:name="_Toc38644012"/>
      <w:bookmarkStart w:id="94" w:name="_Toc39246848"/>
      <w:r>
        <w:t xml:space="preserve">Functions at </w:t>
      </w:r>
      <w:r w:rsidR="002B0940">
        <w:t>Security</w:t>
      </w:r>
      <w:r>
        <w:t xml:space="preserve"> Sources</w:t>
      </w:r>
      <w:bookmarkEnd w:id="93"/>
      <w:bookmarkEnd w:id="94"/>
    </w:p>
    <w:p w14:paraId="21DE2D1A" w14:textId="77777777" w:rsidR="005464B3" w:rsidRDefault="005464B3" w:rsidP="005464B3">
      <w:pPr>
        <w:pStyle w:val="Heading3"/>
        <w:numPr>
          <w:ilvl w:val="2"/>
          <w:numId w:val="1"/>
        </w:numPr>
      </w:pPr>
      <w:r>
        <w:t>Overview</w:t>
      </w:r>
    </w:p>
    <w:p w14:paraId="6374FECF" w14:textId="77777777" w:rsidR="005464B3" w:rsidRDefault="005464B3" w:rsidP="005464B3"/>
    <w:p w14:paraId="3385898E" w14:textId="77777777" w:rsidR="00CD1D7E" w:rsidRDefault="00CD1D7E" w:rsidP="00CD1D7E">
      <w:pPr>
        <w:jc w:val="both"/>
      </w:pPr>
      <w:r>
        <w:t xml:space="preserve">A SBSP security service is applied to a target block within a bundle by the BPA serving as the security source of that target block. These services are applied using two functions: </w:t>
      </w:r>
      <w:proofErr w:type="spellStart"/>
      <w:r>
        <w:t>ApplyIntegrity</w:t>
      </w:r>
      <w:proofErr w:type="spellEnd"/>
      <w:r>
        <w:t xml:space="preserve"> and ApplyConfidentiality.</w:t>
      </w:r>
    </w:p>
    <w:p w14:paraId="75A4E05D" w14:textId="42A7095E" w:rsidR="005464B3" w:rsidRDefault="005464B3" w:rsidP="005464B3"/>
    <w:p w14:paraId="51403816" w14:textId="3CF5202D" w:rsidR="005464B3" w:rsidRDefault="005464B3" w:rsidP="00F83FAB">
      <w:pPr>
        <w:pStyle w:val="Heading4"/>
        <w:numPr>
          <w:ilvl w:val="3"/>
          <w:numId w:val="1"/>
        </w:numPr>
        <w:tabs>
          <w:tab w:val="clear" w:pos="1987"/>
        </w:tabs>
        <w:ind w:left="0"/>
      </w:pPr>
      <w:proofErr w:type="spellStart"/>
      <w:r>
        <w:t>ApplyIntegrity</w:t>
      </w:r>
      <w:proofErr w:type="spellEnd"/>
      <w:r w:rsidR="004E2E95">
        <w:t xml:space="preserve"> Function</w:t>
      </w:r>
    </w:p>
    <w:p w14:paraId="27B477D7" w14:textId="77777777" w:rsidR="005464B3" w:rsidRDefault="005464B3" w:rsidP="005464B3"/>
    <w:p w14:paraId="064A28E1" w14:textId="77777777" w:rsidR="003C1B58" w:rsidRDefault="003C1B58" w:rsidP="003C1B58">
      <w:pPr>
        <w:jc w:val="both"/>
      </w:pPr>
      <w:r>
        <w:t xml:space="preserve">The </w:t>
      </w:r>
      <w:proofErr w:type="spellStart"/>
      <w:r>
        <w:t>ApplyIntegrity</w:t>
      </w:r>
      <w:proofErr w:type="spellEnd"/>
      <w:r>
        <w:t xml:space="preserve"> Function adds an integrity mechanism to a target block within a bundle at the BPA inserting the target block into the bundle. It is called by the BPA after the target block has been added to the bundle.</w:t>
      </w:r>
    </w:p>
    <w:p w14:paraId="660EFB4E" w14:textId="77777777" w:rsidR="003C1B58" w:rsidRDefault="003C1B58" w:rsidP="003C1B58"/>
    <w:p w14:paraId="67CBC8AF" w14:textId="48F19127" w:rsidR="003C1B58" w:rsidRDefault="003C1B58" w:rsidP="003C1B58">
      <w:pPr>
        <w:jc w:val="both"/>
      </w:pPr>
      <w:r>
        <w:lastRenderedPageBreak/>
        <w:t xml:space="preserve">The input parameters of this function include the bundle containing the block whose integrity is being protected, the identifier for the target block, the </w:t>
      </w:r>
      <w:r w:rsidR="00DD1990">
        <w:t>security context</w:t>
      </w:r>
      <w:r>
        <w:t xml:space="preserve"> to be used to generate an integrity protection mechanism, and the set of parameters a</w:t>
      </w:r>
      <w:r w:rsidR="00DD1990">
        <w:t>ssociated with that security context</w:t>
      </w:r>
      <w:r>
        <w:t xml:space="preserve">. </w:t>
      </w:r>
    </w:p>
    <w:p w14:paraId="0FDECA41" w14:textId="77777777" w:rsidR="003C1B58" w:rsidRDefault="003C1B58" w:rsidP="003C1B58"/>
    <w:p w14:paraId="7101C992" w14:textId="724028ED" w:rsidR="003C1B58" w:rsidRDefault="003C1B58" w:rsidP="003C1B58">
      <w:pPr>
        <w:jc w:val="both"/>
      </w:pPr>
      <w:r>
        <w:t xml:space="preserve">When called, this function provides all input parameters to the selected </w:t>
      </w:r>
      <w:r w:rsidR="00DD1990">
        <w:t>security context</w:t>
      </w:r>
      <w:r>
        <w:t xml:space="preserve">, captures the results generated by the </w:t>
      </w:r>
      <w:r w:rsidR="00DD1990">
        <w:t>security context</w:t>
      </w:r>
      <w:r>
        <w:t xml:space="preserve">, and inserts these results into the bundle in the form of a new security block. </w:t>
      </w:r>
    </w:p>
    <w:p w14:paraId="6C9EDB73" w14:textId="77777777" w:rsidR="003C1B58" w:rsidRDefault="003C1B58" w:rsidP="003C1B58"/>
    <w:p w14:paraId="2555BCE5" w14:textId="77777777" w:rsidR="003C1B58" w:rsidRDefault="003C1B58" w:rsidP="003C1B58">
      <w:pPr>
        <w:jc w:val="both"/>
      </w:pPr>
      <w:r>
        <w:t xml:space="preserve">When the </w:t>
      </w:r>
      <w:proofErr w:type="spellStart"/>
      <w:r>
        <w:t>ApplyIntegrity</w:t>
      </w:r>
      <w:proofErr w:type="spellEnd"/>
      <w:r>
        <w:t xml:space="preserve"> Function has completed the processing, it returns resulting data to the caller in the return parameter, the </w:t>
      </w:r>
      <w:proofErr w:type="spellStart"/>
      <w:r>
        <w:t>ApplyIntegrity</w:t>
      </w:r>
      <w:proofErr w:type="spellEnd"/>
      <w:r>
        <w:t xml:space="preserve"> Return.</w:t>
      </w:r>
    </w:p>
    <w:p w14:paraId="653C693E" w14:textId="77777777" w:rsidR="003C1B58" w:rsidRDefault="003C1B58" w:rsidP="003C1B58"/>
    <w:p w14:paraId="3C2D57A6" w14:textId="6274948D" w:rsidR="005464B3" w:rsidRDefault="005464B3" w:rsidP="00F83FAB">
      <w:pPr>
        <w:pStyle w:val="Heading4"/>
        <w:numPr>
          <w:ilvl w:val="3"/>
          <w:numId w:val="1"/>
        </w:numPr>
        <w:tabs>
          <w:tab w:val="clear" w:pos="1987"/>
        </w:tabs>
        <w:ind w:left="0"/>
      </w:pPr>
      <w:r>
        <w:t>ApplyConfidentiality</w:t>
      </w:r>
      <w:r w:rsidR="001545A8">
        <w:t xml:space="preserve"> Function</w:t>
      </w:r>
    </w:p>
    <w:p w14:paraId="328845B6" w14:textId="77777777" w:rsidR="005464B3" w:rsidRDefault="005464B3" w:rsidP="005464B3"/>
    <w:p w14:paraId="16B217F5" w14:textId="77777777" w:rsidR="00B76F1F" w:rsidRDefault="00B76F1F" w:rsidP="00B76F1F">
      <w:pPr>
        <w:jc w:val="both"/>
      </w:pPr>
      <w:r>
        <w:t xml:space="preserve">The ApplyConfidentiality Function generates cipher text which replaces the plain text contents of a target block within a bundle at the BPA inserting the target block into the bundle. It is called by the BPA after the target block has been added to the bundle. </w:t>
      </w:r>
    </w:p>
    <w:p w14:paraId="494DC4BB" w14:textId="77777777" w:rsidR="00B76F1F" w:rsidRDefault="00B76F1F" w:rsidP="00B76F1F"/>
    <w:p w14:paraId="478112A6" w14:textId="2FBCA2D9" w:rsidR="00B76F1F" w:rsidRDefault="00B76F1F" w:rsidP="00B76F1F">
      <w:pPr>
        <w:jc w:val="both"/>
      </w:pPr>
      <w:r>
        <w:t xml:space="preserve">The input parameters of this function include the bundle containing the target block whose contents are being protected, the identifier for the target block, the </w:t>
      </w:r>
      <w:r w:rsidR="00DD1990">
        <w:t xml:space="preserve">security context </w:t>
      </w:r>
      <w:r>
        <w:t xml:space="preserve">used to generate the appropriate cryptographic material, and the set of parameters associated with that </w:t>
      </w:r>
      <w:r w:rsidR="00DD1990">
        <w:t>security context</w:t>
      </w:r>
      <w:r>
        <w:t>.</w:t>
      </w:r>
    </w:p>
    <w:p w14:paraId="3DB5468B" w14:textId="77777777" w:rsidR="00B76F1F" w:rsidRDefault="00B76F1F" w:rsidP="00B76F1F"/>
    <w:p w14:paraId="6E600CF9" w14:textId="0775C3BA" w:rsidR="00B76F1F" w:rsidRDefault="00B76F1F" w:rsidP="00B76F1F">
      <w:pPr>
        <w:jc w:val="both"/>
      </w:pPr>
      <w:r>
        <w:t xml:space="preserve">When called, this function provides all input parameters to the selected </w:t>
      </w:r>
      <w:r w:rsidR="00DD1990">
        <w:t>security context</w:t>
      </w:r>
      <w:r>
        <w:t xml:space="preserve">, captures the results (including cipher text) generated by the </w:t>
      </w:r>
      <w:r w:rsidR="00DD1990">
        <w:t>security context</w:t>
      </w:r>
      <w:r>
        <w:t xml:space="preserve">, and inserts these results into the bundle. </w:t>
      </w:r>
    </w:p>
    <w:p w14:paraId="75DE9B6C" w14:textId="77777777" w:rsidR="00B76F1F" w:rsidRDefault="00B76F1F" w:rsidP="00B76F1F"/>
    <w:p w14:paraId="77FD7EE2" w14:textId="2BCA4E2B" w:rsidR="00B76F1F" w:rsidRDefault="00B76F1F" w:rsidP="00B76F1F">
      <w:pPr>
        <w:tabs>
          <w:tab w:val="left" w:pos="810"/>
        </w:tabs>
        <w:ind w:left="1080" w:hanging="1080"/>
        <w:jc w:val="both"/>
      </w:pPr>
      <w:r>
        <w:t xml:space="preserve">NOTE </w:t>
      </w:r>
      <w:r>
        <w:tab/>
      </w:r>
      <w:proofErr w:type="gramStart"/>
      <w:r>
        <w:t>–  The</w:t>
      </w:r>
      <w:proofErr w:type="gramEnd"/>
      <w:r>
        <w:t xml:space="preserve"> selected </w:t>
      </w:r>
      <w:r w:rsidR="00DD1990">
        <w:t xml:space="preserve">security context </w:t>
      </w:r>
      <w:r>
        <w:t>must generate an integrity result for the created cipher text so that the downstream application of the AcceptConfidentiality Function can verify that the cipher text has not changed in transit.</w:t>
      </w:r>
    </w:p>
    <w:p w14:paraId="52F99FA8" w14:textId="77777777" w:rsidR="00B76F1F" w:rsidRDefault="00B76F1F" w:rsidP="00B76F1F"/>
    <w:p w14:paraId="4D6EDE1A" w14:textId="77777777" w:rsidR="00B76F1F" w:rsidRDefault="00B76F1F" w:rsidP="00B76F1F">
      <w:pPr>
        <w:jc w:val="both"/>
      </w:pPr>
      <w:r>
        <w:t>When the ApplyConfidentiality Function has completed the processing, it returns resulting data to the caller in the return parameter, the ApplyConfidentiality Return.</w:t>
      </w:r>
    </w:p>
    <w:p w14:paraId="37BB9E58" w14:textId="1D1F2DB9" w:rsidR="005464B3" w:rsidRDefault="005464B3" w:rsidP="005464B3"/>
    <w:p w14:paraId="33B655CF" w14:textId="77777777" w:rsidR="005464B3" w:rsidRDefault="005464B3" w:rsidP="00F83FAB">
      <w:pPr>
        <w:pStyle w:val="Heading4"/>
        <w:numPr>
          <w:ilvl w:val="3"/>
          <w:numId w:val="1"/>
        </w:numPr>
        <w:tabs>
          <w:tab w:val="clear" w:pos="1987"/>
        </w:tabs>
        <w:ind w:left="0"/>
      </w:pPr>
      <w:r>
        <w:t>Special Considerations</w:t>
      </w:r>
    </w:p>
    <w:p w14:paraId="7506B6BF" w14:textId="77777777" w:rsidR="005464B3" w:rsidRDefault="005464B3" w:rsidP="005464B3"/>
    <w:p w14:paraId="1EBFB9A5" w14:textId="77777777" w:rsidR="00411F86" w:rsidRDefault="00411F86" w:rsidP="00411F86">
      <w:pPr>
        <w:jc w:val="both"/>
      </w:pPr>
      <w:r>
        <w:t xml:space="preserve">Because the ApplyConfidentiality function is required to provide integrity for its cipher text it would be redundant to call both the </w:t>
      </w:r>
      <w:proofErr w:type="spellStart"/>
      <w:r>
        <w:t>ApplyIntegrity</w:t>
      </w:r>
      <w:proofErr w:type="spellEnd"/>
      <w:r>
        <w:t xml:space="preserve"> and ApplyConfidentiality functions for the same target block in a bundle. Therefore, a security source for the target block must choose whether the target block receives plain text integrity or the combination of plain text confidentiality and cipher text integrity. </w:t>
      </w:r>
    </w:p>
    <w:p w14:paraId="3C41BDB1" w14:textId="77777777" w:rsidR="00411F86" w:rsidRDefault="00411F86" w:rsidP="00411F86"/>
    <w:p w14:paraId="41170578" w14:textId="77777777" w:rsidR="00411F86" w:rsidRDefault="00411F86" w:rsidP="00411F86">
      <w:pPr>
        <w:tabs>
          <w:tab w:val="left" w:pos="810"/>
        </w:tabs>
        <w:ind w:left="1080" w:hanging="1080"/>
        <w:jc w:val="both"/>
      </w:pPr>
      <w:r>
        <w:t xml:space="preserve">NOTE </w:t>
      </w:r>
      <w:r>
        <w:tab/>
      </w:r>
      <w:proofErr w:type="gramStart"/>
      <w:r>
        <w:t>–  The</w:t>
      </w:r>
      <w:proofErr w:type="gramEnd"/>
      <w:r>
        <w:t xml:space="preserve"> </w:t>
      </w:r>
      <w:proofErr w:type="spellStart"/>
      <w:r>
        <w:t>ApplyIntegrity</w:t>
      </w:r>
      <w:proofErr w:type="spellEnd"/>
      <w:r>
        <w:t xml:space="preserve"> and ApplyConfidentiality functions may be called multiple times for different target blocks in a bundle.</w:t>
      </w:r>
    </w:p>
    <w:p w14:paraId="41EA84CF" w14:textId="10A8AA49" w:rsidR="005464B3" w:rsidRPr="00550575" w:rsidRDefault="005464B3" w:rsidP="005464B3"/>
    <w:p w14:paraId="5CF5C793" w14:textId="77777777" w:rsidR="005464B3" w:rsidRDefault="005464B3" w:rsidP="005464B3">
      <w:pPr>
        <w:pStyle w:val="Heading3"/>
        <w:numPr>
          <w:ilvl w:val="2"/>
          <w:numId w:val="1"/>
        </w:numPr>
      </w:pPr>
      <w:r>
        <w:lastRenderedPageBreak/>
        <w:t>Input Parameters</w:t>
      </w:r>
    </w:p>
    <w:p w14:paraId="5BF62C17" w14:textId="77777777" w:rsidR="005464B3" w:rsidRDefault="005464B3" w:rsidP="005464B3"/>
    <w:p w14:paraId="0E065875" w14:textId="77777777" w:rsidR="005464B3" w:rsidRDefault="005464B3" w:rsidP="00F83FAB">
      <w:pPr>
        <w:pStyle w:val="Heading4"/>
        <w:numPr>
          <w:ilvl w:val="3"/>
          <w:numId w:val="1"/>
        </w:numPr>
        <w:tabs>
          <w:tab w:val="clear" w:pos="1987"/>
        </w:tabs>
        <w:ind w:left="0"/>
      </w:pPr>
      <w:r>
        <w:t>Overview</w:t>
      </w:r>
    </w:p>
    <w:p w14:paraId="247C3BC6" w14:textId="77777777" w:rsidR="005464B3" w:rsidRDefault="005464B3" w:rsidP="005464B3"/>
    <w:p w14:paraId="4D0DE868" w14:textId="77777777" w:rsidR="005464B3" w:rsidRDefault="005464B3" w:rsidP="005464B3">
      <w:r>
        <w:t xml:space="preserve">The </w:t>
      </w:r>
      <w:proofErr w:type="spellStart"/>
      <w:r>
        <w:t>ApplyIntegrity</w:t>
      </w:r>
      <w:proofErr w:type="spellEnd"/>
      <w:r>
        <w:t xml:space="preserve"> and ApplyConfidentiality functions take the same types of parameters. This section describes the parameters in general and notes, per parameter, if there is any difference in interpreting the parameter for integrity or confidentiality.</w:t>
      </w:r>
    </w:p>
    <w:p w14:paraId="2999B094" w14:textId="77777777" w:rsidR="005464B3" w:rsidRPr="00C61880" w:rsidRDefault="005464B3" w:rsidP="005464B3"/>
    <w:p w14:paraId="0817EC98" w14:textId="77777777" w:rsidR="005464B3" w:rsidRDefault="005464B3" w:rsidP="00F83FAB">
      <w:pPr>
        <w:pStyle w:val="Heading4"/>
        <w:numPr>
          <w:ilvl w:val="3"/>
          <w:numId w:val="1"/>
        </w:numPr>
        <w:tabs>
          <w:tab w:val="clear" w:pos="1987"/>
        </w:tabs>
        <w:ind w:left="0"/>
      </w:pPr>
      <w:r>
        <w:t>Target Bundle</w:t>
      </w:r>
    </w:p>
    <w:p w14:paraId="18DC39FE" w14:textId="77777777" w:rsidR="005464B3" w:rsidRDefault="005464B3" w:rsidP="005464B3"/>
    <w:p w14:paraId="4C9A4659" w14:textId="77777777" w:rsidR="008D5EE5" w:rsidRDefault="008D5EE5" w:rsidP="008D5EE5">
      <w:pPr>
        <w:jc w:val="both"/>
      </w:pPr>
      <w:r>
        <w:t>The Target Bundle parameter shall consist of the bundle containing one or more blocks for which a SBSP service is being applied.  The calling BPA must be the BPA inserting the target block into the target bundle.</w:t>
      </w:r>
    </w:p>
    <w:p w14:paraId="1C3C577C" w14:textId="77777777" w:rsidR="008D5EE5" w:rsidRPr="001B79CE" w:rsidRDefault="008D5EE5" w:rsidP="008D5EE5">
      <w:pPr>
        <w:pStyle w:val="Notelevel2"/>
        <w:tabs>
          <w:tab w:val="clear" w:pos="1166"/>
          <w:tab w:val="left" w:pos="810"/>
        </w:tabs>
        <w:ind w:left="1080" w:hanging="1080"/>
      </w:pPr>
      <w:r w:rsidRPr="001B79CE">
        <w:t>NOTE</w:t>
      </w:r>
      <w:r>
        <w:t xml:space="preserve"> </w:t>
      </w:r>
      <w:r>
        <w:tab/>
      </w:r>
      <w:proofErr w:type="gramStart"/>
      <w:r w:rsidRPr="001B79CE">
        <w:t>–</w:t>
      </w:r>
      <w:r>
        <w:t xml:space="preserve">  The</w:t>
      </w:r>
      <w:proofErr w:type="gramEnd"/>
      <w:r>
        <w:t xml:space="preserve"> bundle is also provided in the return value from the integrity and confidentiality functions because these functions modify the contents of the target bundle.</w:t>
      </w:r>
    </w:p>
    <w:p w14:paraId="6FD0066C" w14:textId="77777777" w:rsidR="005464B3" w:rsidRDefault="005464B3" w:rsidP="005464B3">
      <w:pPr>
        <w:ind w:left="720" w:hanging="720"/>
      </w:pPr>
    </w:p>
    <w:p w14:paraId="1A9350A0" w14:textId="77777777" w:rsidR="005464B3" w:rsidRDefault="005464B3" w:rsidP="00F83FAB">
      <w:pPr>
        <w:pStyle w:val="Heading4"/>
        <w:numPr>
          <w:ilvl w:val="3"/>
          <w:numId w:val="1"/>
        </w:numPr>
        <w:tabs>
          <w:tab w:val="clear" w:pos="1987"/>
        </w:tabs>
        <w:ind w:left="0"/>
      </w:pPr>
      <w:r>
        <w:t>Target Block Type</w:t>
      </w:r>
    </w:p>
    <w:p w14:paraId="2088D97A" w14:textId="77777777" w:rsidR="005464B3" w:rsidRDefault="005464B3" w:rsidP="005464B3"/>
    <w:p w14:paraId="3D0BDE82" w14:textId="46C4CC1F" w:rsidR="005464B3" w:rsidRDefault="00FB0BA7" w:rsidP="005464B3">
      <w:r>
        <w:t>The Target Block Type parameter uniquely identifies the target block within the target bundle that is being used by the integrity or confidentiality functions</w:t>
      </w:r>
      <w:r w:rsidR="005464B3">
        <w:t xml:space="preserve">. </w:t>
      </w:r>
    </w:p>
    <w:p w14:paraId="46E83D13" w14:textId="3E868763" w:rsidR="00856755" w:rsidRPr="001B79CE" w:rsidRDefault="00856755" w:rsidP="00465D15">
      <w:pPr>
        <w:pStyle w:val="Notelevel2"/>
        <w:tabs>
          <w:tab w:val="left" w:pos="810"/>
        </w:tabs>
        <w:ind w:left="1080" w:hanging="1080"/>
      </w:pPr>
      <w:r w:rsidRPr="001B79CE">
        <w:t>NOTE</w:t>
      </w:r>
      <w:r w:rsidRPr="001B79CE">
        <w:tab/>
        <w:t>–</w:t>
      </w:r>
      <w:r w:rsidRPr="001B79CE">
        <w:tab/>
      </w:r>
      <w:r w:rsidR="006E7A5B">
        <w:t>The target block type must be the only block type of its kind in the bundle to avoid any ambiguity in identifying the proper target of the security block.</w:t>
      </w:r>
    </w:p>
    <w:p w14:paraId="1F61135D" w14:textId="77777777" w:rsidR="00856755" w:rsidRDefault="00856755" w:rsidP="005464B3"/>
    <w:p w14:paraId="15CBCB0A" w14:textId="1EC5D5B3" w:rsidR="005464B3" w:rsidRDefault="002B5F28" w:rsidP="00F83FAB">
      <w:pPr>
        <w:pStyle w:val="Heading4"/>
        <w:numPr>
          <w:ilvl w:val="3"/>
          <w:numId w:val="1"/>
        </w:numPr>
        <w:tabs>
          <w:tab w:val="clear" w:pos="1987"/>
        </w:tabs>
        <w:ind w:left="0"/>
      </w:pPr>
      <w:r>
        <w:t>Security Context</w:t>
      </w:r>
      <w:r w:rsidR="005464B3">
        <w:t xml:space="preserve"> Identifier</w:t>
      </w:r>
    </w:p>
    <w:p w14:paraId="463904B1" w14:textId="77777777" w:rsidR="005464B3" w:rsidRDefault="005464B3" w:rsidP="005464B3"/>
    <w:p w14:paraId="45E5E12D" w14:textId="1099D7B8" w:rsidR="000165BB" w:rsidRDefault="000165BB" w:rsidP="000165BB">
      <w:pPr>
        <w:jc w:val="both"/>
      </w:pPr>
      <w:r>
        <w:t xml:space="preserve">The </w:t>
      </w:r>
      <w:r w:rsidR="00856BBE">
        <w:t>Security Context</w:t>
      </w:r>
      <w:r>
        <w:t xml:space="preserve"> Identifier parameter shall identify the </w:t>
      </w:r>
      <w:r w:rsidR="00856BBE">
        <w:t>security context u</w:t>
      </w:r>
      <w:r>
        <w:t xml:space="preserve">sed to generate cryptographic material associated with the </w:t>
      </w:r>
      <w:proofErr w:type="spellStart"/>
      <w:r>
        <w:t>ApplyIntegrity</w:t>
      </w:r>
      <w:proofErr w:type="spellEnd"/>
      <w:r>
        <w:t xml:space="preserve"> and ApplyConfidentiality functions. </w:t>
      </w:r>
    </w:p>
    <w:p w14:paraId="58E2E381" w14:textId="77777777" w:rsidR="000165BB" w:rsidRDefault="000165BB" w:rsidP="005464B3"/>
    <w:p w14:paraId="708232B4" w14:textId="4DC75FDC" w:rsidR="005464B3" w:rsidRDefault="005464B3" w:rsidP="00465D15">
      <w:pPr>
        <w:tabs>
          <w:tab w:val="left" w:pos="810"/>
        </w:tabs>
        <w:ind w:left="1080" w:hanging="1080"/>
        <w:jc w:val="both"/>
      </w:pPr>
      <w:r>
        <w:t>NOTE</w:t>
      </w:r>
      <w:r w:rsidR="000165BB">
        <w:t xml:space="preserve"> </w:t>
      </w:r>
      <w:r w:rsidR="00856BBE">
        <w:tab/>
      </w:r>
      <w:r w:rsidR="000165BB">
        <w:t xml:space="preserve">– </w:t>
      </w:r>
      <w:r w:rsidR="00856BBE">
        <w:t xml:space="preserve">  </w:t>
      </w:r>
      <w:r>
        <w:t xml:space="preserve">In the context of ApplyConfidentiality, this parameter must reference an </w:t>
      </w:r>
      <w:r w:rsidR="00E35939">
        <w:t>“authenticated encryption with associated data” (</w:t>
      </w:r>
      <w:r>
        <w:t>AEAD</w:t>
      </w:r>
      <w:r w:rsidR="00E35939">
        <w:t>)</w:t>
      </w:r>
      <w:r>
        <w:t xml:space="preserve"> cipher suite.</w:t>
      </w:r>
    </w:p>
    <w:p w14:paraId="2B15AC24" w14:textId="77777777" w:rsidR="005464B3" w:rsidRDefault="005464B3" w:rsidP="005464B3"/>
    <w:p w14:paraId="7979B60B" w14:textId="4BDC1045" w:rsidR="005464B3" w:rsidRDefault="00CD2D1F" w:rsidP="00F83FAB">
      <w:pPr>
        <w:pStyle w:val="Heading4"/>
        <w:numPr>
          <w:ilvl w:val="3"/>
          <w:numId w:val="1"/>
        </w:numPr>
        <w:tabs>
          <w:tab w:val="clear" w:pos="1987"/>
        </w:tabs>
        <w:ind w:left="0"/>
      </w:pPr>
      <w:r>
        <w:t>Security Context</w:t>
      </w:r>
      <w:r w:rsidR="005464B3">
        <w:t xml:space="preserve"> Parameters</w:t>
      </w:r>
    </w:p>
    <w:p w14:paraId="4D49C373" w14:textId="77777777" w:rsidR="005464B3" w:rsidRDefault="005464B3" w:rsidP="005464B3"/>
    <w:p w14:paraId="324515C7" w14:textId="06950E36" w:rsidR="00CD2D1F" w:rsidRDefault="00CD2D1F" w:rsidP="00CD2D1F">
      <w:pPr>
        <w:jc w:val="both"/>
      </w:pPr>
      <w:r>
        <w:t>The Security Context Parameters parameter shall consist of a set of parameters associated with the security context identified by the Security Context Identifier. These parameters must be provided as inputs to the algorithms used to produce cryptographic material for the bundle.</w:t>
      </w:r>
    </w:p>
    <w:p w14:paraId="1F614844" w14:textId="77777777" w:rsidR="00CD2D1F" w:rsidRDefault="00CD2D1F" w:rsidP="00CD2D1F"/>
    <w:p w14:paraId="721E0B6D" w14:textId="77777777" w:rsidR="00CD2D1F" w:rsidRPr="007063A7" w:rsidRDefault="00CD2D1F" w:rsidP="00CD2D1F">
      <w:pPr>
        <w:pStyle w:val="Notelevel1"/>
        <w:ind w:left="1080" w:hanging="1080"/>
      </w:pPr>
      <w:r>
        <w:lastRenderedPageBreak/>
        <w:t>NOTE</w:t>
      </w:r>
      <w:r>
        <w:tab/>
        <w:t>–</w:t>
      </w:r>
      <w:r>
        <w:tab/>
        <w:t>In addition to being input to the suite of algorithms, some of these parameters may also be recorded in the SBSP security blocks added to the bundle for use by downstream security verifiers and security acceptors</w:t>
      </w:r>
      <w:r w:rsidRPr="001B79CE">
        <w:t>.</w:t>
      </w:r>
    </w:p>
    <w:p w14:paraId="0123E373" w14:textId="798E3513" w:rsidR="005464B3" w:rsidRDefault="005464B3" w:rsidP="005464B3">
      <w:pPr>
        <w:pStyle w:val="Heading3"/>
        <w:numPr>
          <w:ilvl w:val="2"/>
          <w:numId w:val="1"/>
        </w:numPr>
      </w:pPr>
      <w:r>
        <w:t>Return Parameters</w:t>
      </w:r>
    </w:p>
    <w:p w14:paraId="58D9529F" w14:textId="77777777" w:rsidR="005464B3" w:rsidRDefault="005464B3" w:rsidP="00F83FAB">
      <w:pPr>
        <w:pStyle w:val="Heading4"/>
        <w:numPr>
          <w:ilvl w:val="3"/>
          <w:numId w:val="1"/>
        </w:numPr>
        <w:tabs>
          <w:tab w:val="clear" w:pos="1987"/>
        </w:tabs>
        <w:ind w:left="0"/>
      </w:pPr>
      <w:proofErr w:type="spellStart"/>
      <w:r>
        <w:t>ApplyIntegrity</w:t>
      </w:r>
      <w:proofErr w:type="spellEnd"/>
      <w:r>
        <w:t xml:space="preserve"> Return</w:t>
      </w:r>
    </w:p>
    <w:p w14:paraId="24437F2C" w14:textId="77777777" w:rsidR="005464B3" w:rsidRDefault="005464B3" w:rsidP="005464B3"/>
    <w:p w14:paraId="25F93C8A" w14:textId="626BBAEF" w:rsidR="000D1F43" w:rsidRDefault="000D1F43" w:rsidP="000D1F43">
      <w:pPr>
        <w:jc w:val="both"/>
      </w:pPr>
      <w:r>
        <w:t xml:space="preserve">The </w:t>
      </w:r>
      <w:proofErr w:type="spellStart"/>
      <w:r>
        <w:t>ApplyIntegrity</w:t>
      </w:r>
      <w:proofErr w:type="spellEnd"/>
      <w:r>
        <w:t xml:space="preserve"> Return shall consist of a new security block to be added to the target bundle. This new security block shall incl</w:t>
      </w:r>
      <w:r w:rsidR="00A33863">
        <w:t>ude the outputs of the security context</w:t>
      </w:r>
      <w:r>
        <w:t>, to include results computed by the integrity mechanism. The calling BPA inserts the new security block after the primary block and before the payload block.</w:t>
      </w:r>
    </w:p>
    <w:p w14:paraId="65943C4B" w14:textId="77777777" w:rsidR="000D1F43" w:rsidRDefault="000D1F43" w:rsidP="000D1F43"/>
    <w:p w14:paraId="02D9F200" w14:textId="77777777" w:rsidR="000D1F43" w:rsidRPr="00C61880" w:rsidRDefault="000D1F43" w:rsidP="000D1F43">
      <w:pPr>
        <w:pStyle w:val="Notelevel1"/>
        <w:ind w:left="1080" w:hanging="1080"/>
      </w:pPr>
      <w:r w:rsidRPr="001B79CE">
        <w:t>NOTE</w:t>
      </w:r>
      <w:r w:rsidRPr="001B79CE">
        <w:tab/>
        <w:t>–</w:t>
      </w:r>
      <w:r w:rsidRPr="001B79CE">
        <w:tab/>
      </w:r>
      <w:r>
        <w:t xml:space="preserve">The order in which the new security block returned by the </w:t>
      </w:r>
      <w:proofErr w:type="spellStart"/>
      <w:r>
        <w:t>ApplyIntegrity</w:t>
      </w:r>
      <w:proofErr w:type="spellEnd"/>
      <w:r>
        <w:t xml:space="preserve"> Return is added to the target bundle, as it relates to other extension blocks in the bundle, is not relevant to security processing</w:t>
      </w:r>
      <w:r w:rsidRPr="00D15E2E">
        <w:t>.</w:t>
      </w:r>
    </w:p>
    <w:p w14:paraId="48F793E7" w14:textId="7CE4C3B0" w:rsidR="005464B3" w:rsidRDefault="005464B3" w:rsidP="00F83FAB">
      <w:pPr>
        <w:pStyle w:val="Heading4"/>
        <w:numPr>
          <w:ilvl w:val="3"/>
          <w:numId w:val="1"/>
        </w:numPr>
        <w:tabs>
          <w:tab w:val="clear" w:pos="1987"/>
        </w:tabs>
        <w:ind w:left="0"/>
      </w:pPr>
      <w:r>
        <w:t>ApplyConfidentiality Return</w:t>
      </w:r>
    </w:p>
    <w:p w14:paraId="5CF1EF17" w14:textId="77777777" w:rsidR="005464B3" w:rsidRDefault="005464B3" w:rsidP="005464B3"/>
    <w:p w14:paraId="0CE4249F" w14:textId="77777777" w:rsidR="00A33863" w:rsidRDefault="00A33863" w:rsidP="00A33863">
      <w:pPr>
        <w:jc w:val="both"/>
      </w:pPr>
      <w:r>
        <w:t xml:space="preserve">The ApplyConfidentiality Return shall consist of both a new security block added to the target bundle and an updated version of the target block. </w:t>
      </w:r>
    </w:p>
    <w:p w14:paraId="275D9984" w14:textId="77777777" w:rsidR="00A33863" w:rsidRDefault="00A33863" w:rsidP="00A33863"/>
    <w:p w14:paraId="4CD727CE" w14:textId="72BB9745" w:rsidR="00A33863" w:rsidRDefault="00A33863" w:rsidP="00A33863">
      <w:pPr>
        <w:jc w:val="both"/>
      </w:pPr>
      <w:r>
        <w:t xml:space="preserve">The updated target block will have its block-type-specific data field replaced with the cipher text generated by the selected </w:t>
      </w:r>
      <w:r w:rsidR="009A2F0D">
        <w:t>security context</w:t>
      </w:r>
      <w:r>
        <w:t xml:space="preserve">. If the length of the cipher text produced by the </w:t>
      </w:r>
      <w:r w:rsidR="009A2F0D">
        <w:t>security context</w:t>
      </w:r>
      <w:r>
        <w:t xml:space="preserve"> is larger than the length of the original target block’s block-type-specific data, then only a portion of the cipher text will be placed into the target block – specifically as much cipher text will be copied so as to not alter the length of the target block. Additional bytes of cipher text will be considered overflow and stored in the new security block added by the ApplyConfidentiality function. </w:t>
      </w:r>
    </w:p>
    <w:p w14:paraId="751EF548" w14:textId="77777777" w:rsidR="00A33863" w:rsidRDefault="00A33863" w:rsidP="00A33863"/>
    <w:p w14:paraId="3FB4B721" w14:textId="61764200" w:rsidR="00A33863" w:rsidRDefault="00A33863" w:rsidP="00A33863">
      <w:pPr>
        <w:jc w:val="both"/>
      </w:pPr>
      <w:r>
        <w:t xml:space="preserve">The new security block shall include a subset of </w:t>
      </w:r>
      <w:r w:rsidR="002963D7">
        <w:t>security context</w:t>
      </w:r>
      <w:r>
        <w:t xml:space="preserve"> parameters used to generate cryptographic materials, any additional authenticated data produced by the </w:t>
      </w:r>
      <w:r w:rsidR="002963D7">
        <w:t>security context</w:t>
      </w:r>
      <w:r>
        <w:t xml:space="preserve"> (to include integrity check values), and any cipher text overflow. </w:t>
      </w:r>
    </w:p>
    <w:p w14:paraId="12E23D17" w14:textId="77777777" w:rsidR="00A33863" w:rsidRDefault="00A33863" w:rsidP="00A33863">
      <w:pPr>
        <w:jc w:val="both"/>
      </w:pPr>
    </w:p>
    <w:p w14:paraId="0C4E5581" w14:textId="77777777" w:rsidR="00A33863" w:rsidRDefault="00A33863" w:rsidP="00A33863">
      <w:pPr>
        <w:jc w:val="both"/>
      </w:pPr>
      <w:r>
        <w:t>The calling BPA inserts the new security block after the primary block and before the payload block. The calling BPA replaces the original target block with the updated target block provided by this Return.</w:t>
      </w:r>
    </w:p>
    <w:p w14:paraId="3432E78B" w14:textId="77777777" w:rsidR="00A33863" w:rsidRDefault="00A33863" w:rsidP="00A33863"/>
    <w:p w14:paraId="1FE98362" w14:textId="10EB1BB0" w:rsidR="00A33863" w:rsidRDefault="0000674E" w:rsidP="00A33863">
      <w:pPr>
        <w:tabs>
          <w:tab w:val="left" w:pos="810"/>
        </w:tabs>
        <w:ind w:left="1080" w:hanging="1080"/>
        <w:jc w:val="both"/>
      </w:pPr>
      <w:r>
        <w:t>NOTE</w:t>
      </w:r>
      <w:r>
        <w:tab/>
      </w:r>
      <w:r w:rsidR="00A33863">
        <w:t>–</w:t>
      </w:r>
      <w:r>
        <w:t xml:space="preserve">  </w:t>
      </w:r>
      <w:r w:rsidR="001B741B">
        <w:t xml:space="preserve"> </w:t>
      </w:r>
      <w:r w:rsidR="00A33863">
        <w:t>The order in which the new security block and the updated target block are added to the bundle, relative to other extension blocks in the bundle, is not relevant to security processing.</w:t>
      </w:r>
    </w:p>
    <w:p w14:paraId="0FFF7B73" w14:textId="401A7E80" w:rsidR="005464B3" w:rsidRPr="00553264" w:rsidRDefault="005464B3" w:rsidP="00465D15">
      <w:pPr>
        <w:ind w:left="720" w:hanging="720"/>
      </w:pPr>
    </w:p>
    <w:p w14:paraId="572F9CE7" w14:textId="77777777" w:rsidR="005464B3" w:rsidRDefault="005464B3" w:rsidP="005464B3">
      <w:pPr>
        <w:pStyle w:val="Heading2"/>
        <w:numPr>
          <w:ilvl w:val="1"/>
          <w:numId w:val="1"/>
        </w:numPr>
      </w:pPr>
      <w:bookmarkStart w:id="95" w:name="_Toc38644013"/>
      <w:bookmarkStart w:id="96" w:name="_Toc39246849"/>
      <w:r>
        <w:t>Functions at Security Verifiers</w:t>
      </w:r>
      <w:bookmarkEnd w:id="95"/>
      <w:bookmarkEnd w:id="96"/>
    </w:p>
    <w:p w14:paraId="58A3379D" w14:textId="77777777" w:rsidR="005464B3" w:rsidRDefault="005464B3" w:rsidP="005464B3"/>
    <w:p w14:paraId="089958E1" w14:textId="77777777" w:rsidR="005464B3" w:rsidRDefault="005464B3" w:rsidP="005464B3">
      <w:pPr>
        <w:pStyle w:val="Heading3"/>
        <w:numPr>
          <w:ilvl w:val="2"/>
          <w:numId w:val="1"/>
        </w:numPr>
      </w:pPr>
      <w:r>
        <w:lastRenderedPageBreak/>
        <w:t>Overview</w:t>
      </w:r>
    </w:p>
    <w:p w14:paraId="7DF37737" w14:textId="77777777" w:rsidR="005464B3" w:rsidRDefault="005464B3" w:rsidP="005464B3"/>
    <w:p w14:paraId="06349F7B" w14:textId="0739130D" w:rsidR="009A5D51" w:rsidRDefault="009A5D51" w:rsidP="009A5D51">
      <w:pPr>
        <w:jc w:val="both"/>
      </w:pPr>
      <w:r>
        <w:t xml:space="preserve">The SBSP integrity service may be verified by security-aware BPAs residing on waypoint nodes. This service is applied using the function </w:t>
      </w:r>
      <w:proofErr w:type="spellStart"/>
      <w:r>
        <w:t>VerifyIntegrity</w:t>
      </w:r>
      <w:proofErr w:type="spellEnd"/>
      <w:r>
        <w:t>.</w:t>
      </w:r>
      <w:r w:rsidR="00C25152">
        <w:t xml:space="preserve"> </w:t>
      </w:r>
    </w:p>
    <w:p w14:paraId="2BD6D3DA" w14:textId="77777777" w:rsidR="009A5D51" w:rsidRDefault="009A5D51" w:rsidP="009A5D51"/>
    <w:p w14:paraId="6B8A2570" w14:textId="16CF92C8" w:rsidR="009A5D51" w:rsidRDefault="009A5D51" w:rsidP="009A5D51">
      <w:pPr>
        <w:tabs>
          <w:tab w:val="left" w:pos="810"/>
        </w:tabs>
        <w:ind w:left="1080" w:hanging="1080"/>
        <w:jc w:val="both"/>
      </w:pPr>
      <w:r>
        <w:t xml:space="preserve">NOTE </w:t>
      </w:r>
      <w:r>
        <w:tab/>
      </w:r>
      <w:proofErr w:type="gramStart"/>
      <w:r>
        <w:t>–  Security</w:t>
      </w:r>
      <w:proofErr w:type="gramEnd"/>
      <w:r>
        <w:t xml:space="preserve"> verifiers check the plain text integrity of blocks in a bundle for the purpose of removing blocks (and bundles) from the network if they appear to have been corrupted or otherwise modified. Verifiers do not similarly check whether confidentiality is successfully applied as that usually requires decryption and decryption outside of a security acceptor is</w:t>
      </w:r>
      <w:r w:rsidR="00AE0AB2">
        <w:t xml:space="preserve"> </w:t>
      </w:r>
      <w:r w:rsidR="00D55567">
        <w:t>not supported by the SBSP.</w:t>
      </w:r>
    </w:p>
    <w:p w14:paraId="2DCB3253" w14:textId="77777777" w:rsidR="009A5D51" w:rsidRDefault="009A5D51" w:rsidP="009A5D51"/>
    <w:p w14:paraId="07CB62DB" w14:textId="110C8194" w:rsidR="00E34EEC" w:rsidRDefault="009A5D51" w:rsidP="00465D15">
      <w:pPr>
        <w:tabs>
          <w:tab w:val="left" w:pos="810"/>
        </w:tabs>
        <w:ind w:left="1080" w:hanging="1080"/>
        <w:jc w:val="both"/>
      </w:pPr>
      <w:r>
        <w:t xml:space="preserve">NOTE </w:t>
      </w:r>
      <w:r>
        <w:tab/>
      </w:r>
      <w:proofErr w:type="gramStart"/>
      <w:r>
        <w:t>–  The</w:t>
      </w:r>
      <w:proofErr w:type="gramEnd"/>
      <w:r>
        <w:t xml:space="preserve"> security verifier role is distinct from the security acceptor role. For any given </w:t>
      </w:r>
      <w:r w:rsidR="00E34EEC">
        <w:t>security</w:t>
      </w:r>
      <w:r>
        <w:t xml:space="preserve"> block, a BPA may not be both a security verifier and security acceptor. </w:t>
      </w:r>
      <w:r w:rsidR="00E34EEC">
        <w:t>If the BPA is the security acceptor, then the AcceptI</w:t>
      </w:r>
      <w:r w:rsidR="009023F9">
        <w:t xml:space="preserve">ntegrity function </w:t>
      </w:r>
      <w:r w:rsidR="007F6336">
        <w:t xml:space="preserve">is used instead of the </w:t>
      </w:r>
      <w:proofErr w:type="spellStart"/>
      <w:r w:rsidR="007F6336">
        <w:t>VerifyIntegrity</w:t>
      </w:r>
      <w:proofErr w:type="spellEnd"/>
      <w:r w:rsidR="007F6336">
        <w:t xml:space="preserve"> function.</w:t>
      </w:r>
    </w:p>
    <w:p w14:paraId="27D3D4F2" w14:textId="77777777" w:rsidR="008B5A33" w:rsidRDefault="008B5A33" w:rsidP="00465D15">
      <w:pPr>
        <w:tabs>
          <w:tab w:val="left" w:pos="810"/>
        </w:tabs>
        <w:ind w:left="1080" w:hanging="1080"/>
        <w:jc w:val="both"/>
      </w:pPr>
    </w:p>
    <w:p w14:paraId="3C60A9B0" w14:textId="255BDE07" w:rsidR="005464B3" w:rsidRDefault="005464B3" w:rsidP="00F83FAB">
      <w:pPr>
        <w:pStyle w:val="Heading4"/>
        <w:numPr>
          <w:ilvl w:val="3"/>
          <w:numId w:val="1"/>
        </w:numPr>
        <w:tabs>
          <w:tab w:val="clear" w:pos="1987"/>
        </w:tabs>
        <w:ind w:left="0"/>
      </w:pPr>
      <w:proofErr w:type="spellStart"/>
      <w:r>
        <w:t>VerifyIntegrity</w:t>
      </w:r>
      <w:proofErr w:type="spellEnd"/>
      <w:r w:rsidR="008B5A33">
        <w:t xml:space="preserve"> Function</w:t>
      </w:r>
    </w:p>
    <w:p w14:paraId="635A8762" w14:textId="77777777" w:rsidR="005464B3" w:rsidRDefault="005464B3" w:rsidP="005464B3"/>
    <w:p w14:paraId="381AD59B" w14:textId="77777777" w:rsidR="00AF627F" w:rsidRDefault="00AF627F" w:rsidP="00AF627F">
      <w:pPr>
        <w:jc w:val="both"/>
      </w:pPr>
      <w:r>
        <w:t xml:space="preserve">The </w:t>
      </w:r>
      <w:proofErr w:type="spellStart"/>
      <w:r>
        <w:t>VerifyIntegrity</w:t>
      </w:r>
      <w:proofErr w:type="spellEnd"/>
      <w:r>
        <w:t xml:space="preserve"> Function is defined for a security-aware BPA serving as the security verifier of a SBSP security block. T</w:t>
      </w:r>
      <w:r w:rsidRPr="00592CEB">
        <w:t>he functi</w:t>
      </w:r>
      <w:r>
        <w:t xml:space="preserve">on determines whether the integrity result present in a security block created from a call to the </w:t>
      </w:r>
      <w:proofErr w:type="spellStart"/>
      <w:r>
        <w:t>ApplyIntegrity</w:t>
      </w:r>
      <w:proofErr w:type="spellEnd"/>
      <w:r>
        <w:t xml:space="preserve"> function and an integrity result computed from the target block as it exists at the security verifier are equivalent. </w:t>
      </w:r>
    </w:p>
    <w:p w14:paraId="78817EE3" w14:textId="77777777" w:rsidR="00AF627F" w:rsidRDefault="00AF627F" w:rsidP="00AF627F">
      <w:pPr>
        <w:jc w:val="both"/>
      </w:pPr>
    </w:p>
    <w:p w14:paraId="1AEDB3AB" w14:textId="41B431EA" w:rsidR="00AF627F" w:rsidRDefault="00AF627F" w:rsidP="00AF627F">
      <w:pPr>
        <w:tabs>
          <w:tab w:val="left" w:pos="810"/>
        </w:tabs>
        <w:ind w:left="1080" w:hanging="1080"/>
        <w:jc w:val="both"/>
      </w:pPr>
      <w:r>
        <w:t xml:space="preserve">NOTE </w:t>
      </w:r>
      <w:r>
        <w:tab/>
        <w:t xml:space="preserve">–   Failure to verify integrity is not, itself, proof of target block corruption. Integrity results can fail to match if there is a change to the security block contents, the target block contents, the security verifier’s cipher suite implementation, or </w:t>
      </w:r>
      <w:r w:rsidR="00B46B32">
        <w:t>there is a difference in the security context</w:t>
      </w:r>
      <w:r>
        <w:t xml:space="preserve">.  </w:t>
      </w:r>
    </w:p>
    <w:p w14:paraId="2C125B7F" w14:textId="77777777" w:rsidR="00AF627F" w:rsidRDefault="00AF627F" w:rsidP="00AF627F">
      <w:pPr>
        <w:jc w:val="both"/>
      </w:pPr>
    </w:p>
    <w:p w14:paraId="574CEFB3" w14:textId="241E551D" w:rsidR="00AF627F" w:rsidRDefault="00AF627F" w:rsidP="00AF627F">
      <w:pPr>
        <w:jc w:val="both"/>
      </w:pPr>
      <w:r>
        <w:t xml:space="preserve">The input parameters of this function include the block whose integrity is being verified, the security block holding integrity information, and any parameters defined local to the security verifier associated with the </w:t>
      </w:r>
      <w:r w:rsidR="001A7E55">
        <w:t>security context</w:t>
      </w:r>
      <w:r>
        <w:t xml:space="preserve"> used to check integrity. </w:t>
      </w:r>
    </w:p>
    <w:p w14:paraId="3D949AB1" w14:textId="77777777" w:rsidR="00AF627F" w:rsidRDefault="00AF627F" w:rsidP="00AF627F"/>
    <w:p w14:paraId="08FF4B06" w14:textId="0B309ACC" w:rsidR="00AF627F" w:rsidRDefault="00AF627F" w:rsidP="00AF627F">
      <w:pPr>
        <w:jc w:val="both"/>
      </w:pPr>
      <w:r>
        <w:t xml:space="preserve">When called, this function provides all input parameters to the selected </w:t>
      </w:r>
      <w:r w:rsidR="003C4632">
        <w:t>security context</w:t>
      </w:r>
      <w:r>
        <w:t xml:space="preserve">, captures the results generated by the </w:t>
      </w:r>
      <w:r w:rsidR="003C4632">
        <w:t>security context</w:t>
      </w:r>
      <w:r>
        <w:t xml:space="preserve">, and determines if the integrity verification succeeded. </w:t>
      </w:r>
    </w:p>
    <w:p w14:paraId="44EDED09" w14:textId="77777777" w:rsidR="00AF627F" w:rsidRDefault="00AF627F" w:rsidP="00AF627F"/>
    <w:p w14:paraId="76AB5386" w14:textId="77777777" w:rsidR="00AF627F" w:rsidRDefault="00AF627F" w:rsidP="00AF627F">
      <w:pPr>
        <w:jc w:val="both"/>
      </w:pPr>
      <w:r>
        <w:t xml:space="preserve">When the </w:t>
      </w:r>
      <w:proofErr w:type="spellStart"/>
      <w:r>
        <w:t>VerifyIntegrity</w:t>
      </w:r>
      <w:proofErr w:type="spellEnd"/>
      <w:r>
        <w:t xml:space="preserve"> Function has completed the processing, it returns resulting data to the caller in the return parameter, the </w:t>
      </w:r>
      <w:proofErr w:type="spellStart"/>
      <w:r>
        <w:t>VerifyIntegrity</w:t>
      </w:r>
      <w:proofErr w:type="spellEnd"/>
      <w:r>
        <w:t xml:space="preserve"> Return.</w:t>
      </w:r>
    </w:p>
    <w:p w14:paraId="2F3CE739" w14:textId="77777777" w:rsidR="005464B3" w:rsidRPr="004C2A98" w:rsidRDefault="005464B3" w:rsidP="005464B3"/>
    <w:p w14:paraId="4E7F3DB6" w14:textId="77777777" w:rsidR="005464B3" w:rsidRDefault="005464B3" w:rsidP="005464B3">
      <w:pPr>
        <w:pStyle w:val="Heading3"/>
        <w:numPr>
          <w:ilvl w:val="2"/>
          <w:numId w:val="1"/>
        </w:numPr>
      </w:pPr>
      <w:r>
        <w:t>Input Parameters</w:t>
      </w:r>
    </w:p>
    <w:p w14:paraId="026F5E51" w14:textId="77777777" w:rsidR="005464B3" w:rsidRDefault="005464B3" w:rsidP="005464B3"/>
    <w:p w14:paraId="0581EBD2" w14:textId="77777777" w:rsidR="005464B3" w:rsidRDefault="005464B3" w:rsidP="00F83FAB">
      <w:pPr>
        <w:pStyle w:val="Heading4"/>
        <w:numPr>
          <w:ilvl w:val="3"/>
          <w:numId w:val="1"/>
        </w:numPr>
        <w:tabs>
          <w:tab w:val="clear" w:pos="1987"/>
        </w:tabs>
        <w:ind w:left="0"/>
      </w:pPr>
      <w:r>
        <w:t>Target Block</w:t>
      </w:r>
    </w:p>
    <w:p w14:paraId="64409914" w14:textId="77777777" w:rsidR="005464B3" w:rsidRDefault="005464B3" w:rsidP="005464B3"/>
    <w:p w14:paraId="1D3D712B" w14:textId="1FE81997" w:rsidR="005464B3" w:rsidRDefault="005464B3" w:rsidP="005464B3">
      <w:r>
        <w:lastRenderedPageBreak/>
        <w:t xml:space="preserve">The Target Block parameter contains the contents of the BP block </w:t>
      </w:r>
      <w:r w:rsidR="00E70F36">
        <w:t xml:space="preserve">for </w:t>
      </w:r>
      <w:r>
        <w:t xml:space="preserve">which integrity is being verified by this function. </w:t>
      </w:r>
    </w:p>
    <w:p w14:paraId="592B522A" w14:textId="77777777" w:rsidR="005464B3" w:rsidRDefault="005464B3" w:rsidP="005464B3"/>
    <w:p w14:paraId="6DFC0366" w14:textId="77777777" w:rsidR="005464B3" w:rsidRDefault="005464B3" w:rsidP="00F83FAB">
      <w:pPr>
        <w:pStyle w:val="Heading4"/>
        <w:numPr>
          <w:ilvl w:val="3"/>
          <w:numId w:val="1"/>
        </w:numPr>
        <w:tabs>
          <w:tab w:val="clear" w:pos="1987"/>
        </w:tabs>
        <w:ind w:left="0"/>
      </w:pPr>
      <w:r>
        <w:t>Integrity Security Block</w:t>
      </w:r>
    </w:p>
    <w:p w14:paraId="781B60B4" w14:textId="77777777" w:rsidR="005464B3" w:rsidRDefault="005464B3" w:rsidP="005464B3"/>
    <w:p w14:paraId="0A4B35FD" w14:textId="0260AEB9" w:rsidR="005464B3" w:rsidRDefault="00F4439F" w:rsidP="005464B3">
      <w:r>
        <w:t xml:space="preserve">The Integrity Security Block parameter consists of the SBSP security block that contains the integrity result generated by the </w:t>
      </w:r>
      <w:proofErr w:type="spellStart"/>
      <w:r>
        <w:t>ApplyIntegrity</w:t>
      </w:r>
      <w:proofErr w:type="spellEnd"/>
      <w:r>
        <w:t xml:space="preserve"> function over the Target Block as it existed at the time of block creation. This block may also include the suite identifier, suite parameters, and additional results used by the </w:t>
      </w:r>
      <w:proofErr w:type="spellStart"/>
      <w:r>
        <w:t>ApplyIntegrity</w:t>
      </w:r>
      <w:proofErr w:type="spellEnd"/>
      <w:r>
        <w:t xml:space="preserve"> function</w:t>
      </w:r>
    </w:p>
    <w:p w14:paraId="521B9665" w14:textId="77777777" w:rsidR="00EF6DE8" w:rsidRDefault="00EF6DE8" w:rsidP="005464B3"/>
    <w:p w14:paraId="0262D7DF" w14:textId="236CE10F" w:rsidR="005464B3" w:rsidRDefault="005464B3" w:rsidP="00F83FAB">
      <w:pPr>
        <w:pStyle w:val="Heading4"/>
        <w:numPr>
          <w:ilvl w:val="3"/>
          <w:numId w:val="1"/>
        </w:numPr>
        <w:tabs>
          <w:tab w:val="clear" w:pos="1987"/>
        </w:tabs>
        <w:ind w:left="0"/>
      </w:pPr>
      <w:r>
        <w:t xml:space="preserve">Local </w:t>
      </w:r>
      <w:r w:rsidR="00EF6DE8">
        <w:t>Security Context</w:t>
      </w:r>
      <w:r>
        <w:t xml:space="preserve"> Parameters</w:t>
      </w:r>
    </w:p>
    <w:p w14:paraId="250038E4" w14:textId="77777777" w:rsidR="005464B3" w:rsidRDefault="005464B3" w:rsidP="005464B3"/>
    <w:p w14:paraId="6A0C969B" w14:textId="3900D91E" w:rsidR="007C27FA" w:rsidRDefault="007C27FA" w:rsidP="007C27FA">
      <w:pPr>
        <w:jc w:val="both"/>
      </w:pPr>
      <w:r>
        <w:t xml:space="preserve">The Local </w:t>
      </w:r>
      <w:r w:rsidR="00CA4E72">
        <w:t>Security Context</w:t>
      </w:r>
      <w:r>
        <w:t xml:space="preserve"> Parameters parameter shall consist of the </w:t>
      </w:r>
      <w:r w:rsidR="00CA4E72">
        <w:t xml:space="preserve">information </w:t>
      </w:r>
      <w:r>
        <w:t xml:space="preserve">configured at the security verifier BPA for the </w:t>
      </w:r>
      <w:r w:rsidR="00CA4E72">
        <w:t>security context</w:t>
      </w:r>
      <w:r>
        <w:t xml:space="preserve"> </w:t>
      </w:r>
      <w:r w:rsidR="00CA4E72">
        <w:t xml:space="preserve">specified in the security block </w:t>
      </w:r>
      <w:r>
        <w:t xml:space="preserve">identified in the Integrity Security Block parameter. These local </w:t>
      </w:r>
      <w:r w:rsidR="00CA4E72">
        <w:t>security context</w:t>
      </w:r>
      <w:r>
        <w:t xml:space="preserve"> parameters must be provided as inputs to the </w:t>
      </w:r>
      <w:r w:rsidR="00CA4E72">
        <w:t>security context</w:t>
      </w:r>
      <w:r>
        <w:t xml:space="preserve"> used to verify the integrity of the target block. </w:t>
      </w:r>
    </w:p>
    <w:p w14:paraId="7FFAA57A" w14:textId="77777777" w:rsidR="007C27FA" w:rsidRDefault="007C27FA" w:rsidP="007C27FA"/>
    <w:p w14:paraId="4DAB2C1C" w14:textId="6C8FEF9F" w:rsidR="007C27FA" w:rsidRPr="00C61880" w:rsidRDefault="007C27FA" w:rsidP="007C27FA">
      <w:pPr>
        <w:pStyle w:val="Notelevel1"/>
        <w:ind w:left="1080" w:hanging="1080"/>
      </w:pPr>
      <w:r w:rsidRPr="001B79CE">
        <w:t>NOTE</w:t>
      </w:r>
      <w:r w:rsidRPr="001B79CE">
        <w:tab/>
        <w:t>–</w:t>
      </w:r>
      <w:r w:rsidRPr="001B79CE">
        <w:tab/>
      </w:r>
      <w:r>
        <w:t xml:space="preserve">The </w:t>
      </w:r>
      <w:r w:rsidR="00503583">
        <w:t>security block’s security context parameters</w:t>
      </w:r>
      <w:r>
        <w:t xml:space="preserve"> and Local </w:t>
      </w:r>
      <w:r w:rsidR="00503583">
        <w:t>Security Context</w:t>
      </w:r>
      <w:r>
        <w:t xml:space="preserve"> Parameters may provide conflicting values for </w:t>
      </w:r>
      <w:r w:rsidR="00CB67AA">
        <w:t>the same</w:t>
      </w:r>
      <w:r>
        <w:t xml:space="preserve"> parameter</w:t>
      </w:r>
      <w:r w:rsidRPr="00D15E2E">
        <w:t>.</w:t>
      </w:r>
    </w:p>
    <w:p w14:paraId="7A01E463" w14:textId="77777777" w:rsidR="005464B3" w:rsidRDefault="005464B3" w:rsidP="005464B3"/>
    <w:p w14:paraId="35A39CC2" w14:textId="77777777" w:rsidR="005464B3" w:rsidRDefault="005464B3" w:rsidP="005464B3">
      <w:pPr>
        <w:pStyle w:val="Heading3"/>
        <w:numPr>
          <w:ilvl w:val="2"/>
          <w:numId w:val="1"/>
        </w:numPr>
      </w:pPr>
      <w:r>
        <w:t>Return Parameters</w:t>
      </w:r>
    </w:p>
    <w:p w14:paraId="60C17C71" w14:textId="77777777" w:rsidR="005464B3" w:rsidRDefault="005464B3" w:rsidP="00F83FAB">
      <w:pPr>
        <w:pStyle w:val="Heading4"/>
        <w:numPr>
          <w:ilvl w:val="3"/>
          <w:numId w:val="1"/>
        </w:numPr>
        <w:tabs>
          <w:tab w:val="clear" w:pos="1987"/>
        </w:tabs>
        <w:ind w:left="0"/>
      </w:pPr>
      <w:proofErr w:type="spellStart"/>
      <w:r>
        <w:t>VerifyIntegrity</w:t>
      </w:r>
      <w:proofErr w:type="spellEnd"/>
      <w:r>
        <w:t xml:space="preserve"> Return</w:t>
      </w:r>
    </w:p>
    <w:p w14:paraId="79CFDD34" w14:textId="77777777" w:rsidR="005464B3" w:rsidRDefault="005464B3" w:rsidP="005464B3"/>
    <w:p w14:paraId="36661225" w14:textId="77777777" w:rsidR="005464B3" w:rsidRDefault="005464B3" w:rsidP="005464B3">
      <w:r>
        <w:t xml:space="preserve">The </w:t>
      </w:r>
      <w:proofErr w:type="spellStart"/>
      <w:r>
        <w:t>VerifyIntegrity</w:t>
      </w:r>
      <w:proofErr w:type="spellEnd"/>
      <w:r>
        <w:t xml:space="preserve"> Return shall consist of a result code signifying either that the integrity of the target block was verified or was not verified. Implementations may choose to return additional result codes to document exactly why the integrity verification failed. </w:t>
      </w:r>
    </w:p>
    <w:p w14:paraId="2B942A6F" w14:textId="77777777" w:rsidR="005464B3" w:rsidRPr="00553264" w:rsidRDefault="005464B3" w:rsidP="005464B3"/>
    <w:p w14:paraId="6E2CA4AF" w14:textId="77777777" w:rsidR="005464B3" w:rsidRDefault="005464B3" w:rsidP="005464B3">
      <w:pPr>
        <w:pStyle w:val="Heading2"/>
        <w:numPr>
          <w:ilvl w:val="1"/>
          <w:numId w:val="1"/>
        </w:numPr>
      </w:pPr>
      <w:bookmarkStart w:id="97" w:name="_Toc38644014"/>
      <w:bookmarkStart w:id="98" w:name="_Toc39246850"/>
      <w:r>
        <w:t>Function at Security Acceptors</w:t>
      </w:r>
      <w:bookmarkEnd w:id="97"/>
      <w:bookmarkEnd w:id="98"/>
    </w:p>
    <w:p w14:paraId="41B6CEE7" w14:textId="77777777" w:rsidR="005464B3" w:rsidRDefault="005464B3" w:rsidP="005464B3"/>
    <w:p w14:paraId="1D2C3B2D" w14:textId="77777777" w:rsidR="005464B3" w:rsidRDefault="005464B3" w:rsidP="005464B3">
      <w:pPr>
        <w:pStyle w:val="Heading3"/>
        <w:numPr>
          <w:ilvl w:val="2"/>
          <w:numId w:val="1"/>
        </w:numPr>
      </w:pPr>
      <w:r>
        <w:t>Overview</w:t>
      </w:r>
    </w:p>
    <w:p w14:paraId="44E6FD39" w14:textId="77777777" w:rsidR="005464B3" w:rsidRDefault="005464B3" w:rsidP="005464B3"/>
    <w:p w14:paraId="3402EF88" w14:textId="0EE67341" w:rsidR="00F13645" w:rsidRDefault="00F13645" w:rsidP="00F13645">
      <w:pPr>
        <w:jc w:val="both"/>
      </w:pPr>
      <w:r>
        <w:t xml:space="preserve">Security acceptors are security-aware BPAs that serve as either the bundle destination or a bundle waypoint configured as the endpoint of one or more security blocks in a bundle. Upon reaching a security acceptor, a particular security service is no longer needed in a bundle and it </w:t>
      </w:r>
      <w:r w:rsidR="009D548E">
        <w:t xml:space="preserve">must be </w:t>
      </w:r>
      <w:r>
        <w:t>remove</w:t>
      </w:r>
      <w:r w:rsidR="009D548E">
        <w:t>d</w:t>
      </w:r>
      <w:r>
        <w:t xml:space="preserve"> using the functions AcceptIntegrity and AcceptConfidentiality, depending on whether the security service was integrity or confidentiality, respectively. </w:t>
      </w:r>
    </w:p>
    <w:p w14:paraId="01C29E1B" w14:textId="4E1ACF45" w:rsidR="005464B3" w:rsidRDefault="005464B3" w:rsidP="005464B3"/>
    <w:p w14:paraId="22383492" w14:textId="04927EE9" w:rsidR="005464B3" w:rsidRDefault="00294D99" w:rsidP="00F83FAB">
      <w:pPr>
        <w:pStyle w:val="Heading4"/>
        <w:numPr>
          <w:ilvl w:val="3"/>
          <w:numId w:val="1"/>
        </w:numPr>
        <w:tabs>
          <w:tab w:val="clear" w:pos="1987"/>
        </w:tabs>
        <w:ind w:left="0"/>
      </w:pPr>
      <w:r>
        <w:t>AcceptIntegrity</w:t>
      </w:r>
      <w:r w:rsidR="00165F3D">
        <w:t xml:space="preserve"> Function</w:t>
      </w:r>
    </w:p>
    <w:p w14:paraId="614598CF" w14:textId="77777777" w:rsidR="005464B3" w:rsidRDefault="005464B3" w:rsidP="005464B3"/>
    <w:p w14:paraId="78109AA2" w14:textId="77777777" w:rsidR="007F266D" w:rsidRDefault="007F266D" w:rsidP="007F266D">
      <w:pPr>
        <w:jc w:val="both"/>
      </w:pPr>
      <w:r>
        <w:lastRenderedPageBreak/>
        <w:t xml:space="preserve">The AcceptIntegrity Function is defined for a security-aware BPA node accepting a security block constructed by the </w:t>
      </w:r>
      <w:proofErr w:type="spellStart"/>
      <w:r>
        <w:t>ApplyIntegrity</w:t>
      </w:r>
      <w:proofErr w:type="spellEnd"/>
      <w:r>
        <w:t xml:space="preserve"> function at the target block source.</w:t>
      </w:r>
    </w:p>
    <w:p w14:paraId="300921D4" w14:textId="77777777" w:rsidR="007F266D" w:rsidRDefault="007F266D" w:rsidP="007F266D"/>
    <w:p w14:paraId="696387EC" w14:textId="5B9B747D" w:rsidR="007F266D" w:rsidRDefault="007F266D" w:rsidP="007F266D">
      <w:pPr>
        <w:jc w:val="both"/>
      </w:pPr>
      <w:r>
        <w:t xml:space="preserve">Similar to the </w:t>
      </w:r>
      <w:proofErr w:type="spellStart"/>
      <w:r>
        <w:t>VerifyIntegrity</w:t>
      </w:r>
      <w:proofErr w:type="spellEnd"/>
      <w:r>
        <w:t xml:space="preserve"> function, AcceptIntegrity calculates a verification result code for the target block. Additionally, the AcceptIntegrity function must remove from the bundle the security block </w:t>
      </w:r>
      <w:r w:rsidR="0068376F">
        <w:t>used to implement</w:t>
      </w:r>
      <w:r>
        <w:t xml:space="preserve"> the removed integrity service.</w:t>
      </w:r>
    </w:p>
    <w:p w14:paraId="2A6254A2" w14:textId="77777777" w:rsidR="007F266D" w:rsidRDefault="007F266D" w:rsidP="007F266D"/>
    <w:p w14:paraId="195593E9" w14:textId="0D740FB1" w:rsidR="007F266D" w:rsidRDefault="007F266D" w:rsidP="007F266D">
      <w:pPr>
        <w:jc w:val="both"/>
      </w:pPr>
      <w:r>
        <w:t xml:space="preserve">The input parameters of this function include the bundle containing the block whose integrity is being checked and whose security block is being removed, the identifier of the target block, and any parameters defined local to the acceptor associated with the </w:t>
      </w:r>
      <w:r w:rsidR="00C44FF0">
        <w:t>security context</w:t>
      </w:r>
      <w:r>
        <w:t xml:space="preserve"> used to check integrity. </w:t>
      </w:r>
    </w:p>
    <w:p w14:paraId="031808F2" w14:textId="77777777" w:rsidR="007F266D" w:rsidRDefault="007F266D" w:rsidP="007F266D"/>
    <w:p w14:paraId="4C1BE156" w14:textId="5BE97D71" w:rsidR="007F266D" w:rsidRDefault="007F266D" w:rsidP="007F266D">
      <w:pPr>
        <w:jc w:val="both"/>
      </w:pPr>
      <w:r>
        <w:t xml:space="preserve">When the function is called, the security block generated by the </w:t>
      </w:r>
      <w:proofErr w:type="spellStart"/>
      <w:r>
        <w:t>ApplyIntegrity</w:t>
      </w:r>
      <w:proofErr w:type="spellEnd"/>
      <w:r>
        <w:t xml:space="preserve"> function at the target block source can be uniquely identified as the only integrity security block in the bundle whose target matches the input target block type. The contents of the target block, the security block, and local parameters are input to the selected </w:t>
      </w:r>
      <w:r w:rsidR="009B0E12">
        <w:t>security context</w:t>
      </w:r>
      <w:r>
        <w:t xml:space="preserve"> and the result of the integrity verification is captured. Regardless of whether integrity is successfully verified, the security block is removed from the bundle.</w:t>
      </w:r>
    </w:p>
    <w:p w14:paraId="64A08DA3" w14:textId="77777777" w:rsidR="007F266D" w:rsidRDefault="007F266D" w:rsidP="007F266D"/>
    <w:p w14:paraId="7E669E8C" w14:textId="77777777" w:rsidR="007F266D" w:rsidRDefault="007F266D" w:rsidP="007F266D">
      <w:pPr>
        <w:jc w:val="both"/>
      </w:pPr>
      <w:r>
        <w:t>When the AcceptIntegrity Function has completed processing, it returns resulting data to the caller in the return parameter, the AcceptIntegrity Return.</w:t>
      </w:r>
    </w:p>
    <w:p w14:paraId="228231D9" w14:textId="77777777" w:rsidR="005464B3" w:rsidRDefault="005464B3" w:rsidP="005464B3"/>
    <w:p w14:paraId="77BF21B4" w14:textId="0B5EB4CB" w:rsidR="005464B3" w:rsidRDefault="00294D99" w:rsidP="00F83FAB">
      <w:pPr>
        <w:pStyle w:val="Heading4"/>
        <w:numPr>
          <w:ilvl w:val="3"/>
          <w:numId w:val="1"/>
        </w:numPr>
        <w:tabs>
          <w:tab w:val="clear" w:pos="1987"/>
        </w:tabs>
        <w:ind w:left="0"/>
      </w:pPr>
      <w:r>
        <w:t>AcceptConfidentiality</w:t>
      </w:r>
    </w:p>
    <w:p w14:paraId="7A7CE85A" w14:textId="77777777" w:rsidR="005464B3" w:rsidRDefault="005464B3" w:rsidP="005464B3"/>
    <w:p w14:paraId="5AC8D760" w14:textId="77777777" w:rsidR="00D62C6B" w:rsidRDefault="00D62C6B" w:rsidP="00D62C6B">
      <w:pPr>
        <w:jc w:val="both"/>
      </w:pPr>
      <w:r>
        <w:t>The AcceptConfidentiality Function is defined for a security-aware BPA node configured as the acceptor of the ApplyConfidentiality function run at the target block source. This function removes confidentiality from a target block by replacing cipher text within the block with the original contents of the block. The AcceptConfidentiality function must remove from the bundle the security block representing the removed confidentiality service.</w:t>
      </w:r>
    </w:p>
    <w:p w14:paraId="65FB681F" w14:textId="77777777" w:rsidR="00D62C6B" w:rsidRDefault="00D62C6B" w:rsidP="00D62C6B"/>
    <w:p w14:paraId="78D65CD4" w14:textId="022237B4" w:rsidR="00D62C6B" w:rsidRDefault="00D62C6B" w:rsidP="00D62C6B">
      <w:pPr>
        <w:jc w:val="both"/>
      </w:pPr>
      <w:r>
        <w:t xml:space="preserve">The input parameters of this function include the bundle containing the block whose confidentiality is being removed, the identifier of the block type, and any parameters defined local to the acceptor associated with the </w:t>
      </w:r>
      <w:r w:rsidR="00763029">
        <w:t>security context</w:t>
      </w:r>
      <w:r>
        <w:t xml:space="preserve"> used to process confidentiality. </w:t>
      </w:r>
    </w:p>
    <w:p w14:paraId="52B41C9D" w14:textId="77777777" w:rsidR="00D62C6B" w:rsidRDefault="00D62C6B" w:rsidP="00D62C6B"/>
    <w:p w14:paraId="62BA8694" w14:textId="1206A5D1" w:rsidR="00D62C6B" w:rsidRDefault="00D62C6B" w:rsidP="00D62C6B">
      <w:pPr>
        <w:jc w:val="both"/>
      </w:pPr>
      <w:r>
        <w:t xml:space="preserve">When the function is called, the security block generated by the ApplyConfidentiality function at the target block source can be uniquely identified as the only confidentiality security block in the bundle whose target matches the input target block type. The contents of the target block, the contents of the security block, and local parameters are input to the selected </w:t>
      </w:r>
      <w:r w:rsidR="00A7354A">
        <w:t>security context</w:t>
      </w:r>
      <w:r>
        <w:t xml:space="preserve"> and the results of the </w:t>
      </w:r>
      <w:r w:rsidR="00A7354A">
        <w:t>security context</w:t>
      </w:r>
      <w:r>
        <w:t xml:space="preserve"> are captured. Regardless of whether confidentiality is successfully removed, the security block is removed from the bundle.</w:t>
      </w:r>
    </w:p>
    <w:p w14:paraId="28C9C9E9" w14:textId="77777777" w:rsidR="00D62C6B" w:rsidRDefault="00D62C6B" w:rsidP="00D62C6B"/>
    <w:p w14:paraId="6053C9EE" w14:textId="77777777" w:rsidR="00D62C6B" w:rsidRDefault="00D62C6B" w:rsidP="00D62C6B">
      <w:pPr>
        <w:jc w:val="both"/>
      </w:pPr>
      <w:r>
        <w:t>When the AcceptConfidentiality Function has completed the processing, it returns resulting data to the caller in the return parameter, the AcceptConfidentiality Return.</w:t>
      </w:r>
    </w:p>
    <w:p w14:paraId="3ABBF982" w14:textId="77777777" w:rsidR="005464B3" w:rsidRPr="004C2A98" w:rsidRDefault="005464B3" w:rsidP="005464B3"/>
    <w:p w14:paraId="585FCD49" w14:textId="77777777" w:rsidR="005464B3" w:rsidRDefault="005464B3" w:rsidP="005464B3">
      <w:pPr>
        <w:pStyle w:val="Heading3"/>
        <w:numPr>
          <w:ilvl w:val="2"/>
          <w:numId w:val="1"/>
        </w:numPr>
      </w:pPr>
      <w:r>
        <w:lastRenderedPageBreak/>
        <w:t>Input Parameters</w:t>
      </w:r>
    </w:p>
    <w:p w14:paraId="6E535A49" w14:textId="77777777" w:rsidR="005464B3" w:rsidRDefault="005464B3" w:rsidP="005464B3"/>
    <w:p w14:paraId="0EBB8A86" w14:textId="77777777" w:rsidR="005464B3" w:rsidRDefault="005464B3" w:rsidP="00F83FAB">
      <w:pPr>
        <w:pStyle w:val="Heading4"/>
        <w:numPr>
          <w:ilvl w:val="3"/>
          <w:numId w:val="1"/>
        </w:numPr>
        <w:tabs>
          <w:tab w:val="clear" w:pos="1987"/>
        </w:tabs>
        <w:ind w:left="0"/>
      </w:pPr>
      <w:r>
        <w:t>Overview</w:t>
      </w:r>
    </w:p>
    <w:p w14:paraId="4BBDEEA7" w14:textId="77777777" w:rsidR="005464B3" w:rsidRDefault="005464B3" w:rsidP="005464B3"/>
    <w:p w14:paraId="50794A71" w14:textId="350B799B" w:rsidR="005464B3" w:rsidRDefault="005464B3" w:rsidP="005464B3">
      <w:r>
        <w:t xml:space="preserve">The </w:t>
      </w:r>
      <w:r w:rsidR="00294D99">
        <w:t>AcceptIntegrity</w:t>
      </w:r>
      <w:r>
        <w:t xml:space="preserve"> and </w:t>
      </w:r>
      <w:r w:rsidR="00294D99">
        <w:t>AcceptConfidentiality</w:t>
      </w:r>
      <w:r>
        <w:t xml:space="preserve"> functions take the same types of parameters. This section describes the parameters in general and notes, per parameter, if there is any difference in interpreting the parameter for integrity or confidentiality.</w:t>
      </w:r>
    </w:p>
    <w:p w14:paraId="5829BFB8" w14:textId="77777777" w:rsidR="005464B3" w:rsidRDefault="005464B3" w:rsidP="005464B3"/>
    <w:p w14:paraId="54ACDA8C" w14:textId="77777777" w:rsidR="005464B3" w:rsidRDefault="005464B3" w:rsidP="00F83FAB">
      <w:pPr>
        <w:pStyle w:val="Heading4"/>
        <w:numPr>
          <w:ilvl w:val="3"/>
          <w:numId w:val="1"/>
        </w:numPr>
        <w:tabs>
          <w:tab w:val="clear" w:pos="1987"/>
        </w:tabs>
        <w:ind w:left="0"/>
      </w:pPr>
      <w:r>
        <w:t>Target Bundle</w:t>
      </w:r>
    </w:p>
    <w:p w14:paraId="06490B7F" w14:textId="77777777" w:rsidR="005464B3" w:rsidRDefault="005464B3" w:rsidP="005464B3"/>
    <w:p w14:paraId="05C5D14E" w14:textId="77777777" w:rsidR="00E02921" w:rsidRDefault="00563F0B" w:rsidP="00563F0B">
      <w:pPr>
        <w:jc w:val="both"/>
      </w:pPr>
      <w:r>
        <w:t>The Target Bundle parameter shall consist of the bundle containing both the security block being removed and the target block of that security block.</w:t>
      </w:r>
    </w:p>
    <w:p w14:paraId="77BF2531" w14:textId="12E567A5" w:rsidR="00563F0B" w:rsidRDefault="00563F0B" w:rsidP="00563F0B">
      <w:pPr>
        <w:jc w:val="both"/>
      </w:pPr>
      <w:r>
        <w:t xml:space="preserve"> </w:t>
      </w:r>
    </w:p>
    <w:p w14:paraId="3F734213" w14:textId="77777777" w:rsidR="005464B3" w:rsidRDefault="005464B3" w:rsidP="00F83FAB">
      <w:pPr>
        <w:pStyle w:val="Heading4"/>
        <w:numPr>
          <w:ilvl w:val="3"/>
          <w:numId w:val="1"/>
        </w:numPr>
        <w:tabs>
          <w:tab w:val="clear" w:pos="1987"/>
        </w:tabs>
        <w:ind w:left="0"/>
      </w:pPr>
      <w:r>
        <w:t>Target Block Type</w:t>
      </w:r>
    </w:p>
    <w:p w14:paraId="43BAA373" w14:textId="77777777" w:rsidR="005464B3" w:rsidRDefault="005464B3" w:rsidP="005464B3"/>
    <w:p w14:paraId="52D1F604" w14:textId="77777777" w:rsidR="003910F0" w:rsidRDefault="003910F0" w:rsidP="003910F0">
      <w:pPr>
        <w:jc w:val="both"/>
      </w:pPr>
      <w:r>
        <w:t>The Target Block Type parameter uniquely identifies the block within the target bundle that is being used by the integrity or confidentiality function. This parameter also uniquely identifies the security block.</w:t>
      </w:r>
    </w:p>
    <w:p w14:paraId="5BD7CA53" w14:textId="77777777" w:rsidR="003910F0" w:rsidRDefault="003910F0" w:rsidP="003910F0"/>
    <w:p w14:paraId="0079A7F3" w14:textId="77777777" w:rsidR="003910F0" w:rsidRDefault="003910F0" w:rsidP="003910F0">
      <w:pPr>
        <w:tabs>
          <w:tab w:val="left" w:pos="810"/>
        </w:tabs>
        <w:ind w:left="1080" w:hanging="1080"/>
        <w:jc w:val="both"/>
      </w:pPr>
      <w:r>
        <w:t xml:space="preserve">NOTE </w:t>
      </w:r>
      <w:r>
        <w:tab/>
      </w:r>
      <w:proofErr w:type="gramStart"/>
      <w:r>
        <w:t>–  When</w:t>
      </w:r>
      <w:proofErr w:type="gramEnd"/>
      <w:r>
        <w:t xml:space="preserve"> provided to the AcceptIntegrity function, the appropriate security block will be the only integrity block in the bundle whose target is the given target block type. When provided to the AcceptConfidentiality function, the appropriate security block will be the only confidentiality block in the bundle whose target is the given target block type.</w:t>
      </w:r>
    </w:p>
    <w:p w14:paraId="0295299E" w14:textId="77777777" w:rsidR="005464B3" w:rsidRDefault="005464B3" w:rsidP="005464B3"/>
    <w:p w14:paraId="2F6A322B" w14:textId="6F9B3F15" w:rsidR="005464B3" w:rsidRDefault="005464B3" w:rsidP="00F83FAB">
      <w:pPr>
        <w:pStyle w:val="Heading4"/>
        <w:numPr>
          <w:ilvl w:val="3"/>
          <w:numId w:val="1"/>
        </w:numPr>
        <w:tabs>
          <w:tab w:val="clear" w:pos="1987"/>
        </w:tabs>
        <w:ind w:left="0"/>
      </w:pPr>
      <w:r>
        <w:t xml:space="preserve">Local </w:t>
      </w:r>
      <w:r w:rsidR="00527009">
        <w:t>Security Context</w:t>
      </w:r>
      <w:r>
        <w:t xml:space="preserve"> Parameters</w:t>
      </w:r>
    </w:p>
    <w:p w14:paraId="18137611" w14:textId="77777777" w:rsidR="005464B3" w:rsidRDefault="005464B3" w:rsidP="005464B3"/>
    <w:p w14:paraId="547F241A" w14:textId="201087F8" w:rsidR="007F1DAD" w:rsidRDefault="007F1DAD" w:rsidP="007F1DAD">
      <w:pPr>
        <w:jc w:val="both"/>
      </w:pPr>
      <w:r>
        <w:t xml:space="preserve">The Local </w:t>
      </w:r>
      <w:r w:rsidR="00551F1F">
        <w:t>Security Context</w:t>
      </w:r>
      <w:r>
        <w:t xml:space="preserve"> Parameters parameter shall consist of those parameters configured at the</w:t>
      </w:r>
      <w:r w:rsidR="00551F1F">
        <w:t xml:space="preserve"> security acceptor for the security context</w:t>
      </w:r>
      <w:r>
        <w:t xml:space="preserve"> identified in the associated security block. These parameters must be provided as inputs to the suite of algorithms used to accept either integrity or confidentiality, depending on whether the function is the AcceptIntegrity or AcceptConfidentiality function, respectively. </w:t>
      </w:r>
    </w:p>
    <w:p w14:paraId="003F37C6" w14:textId="77777777" w:rsidR="00551F1F" w:rsidRPr="00C61880" w:rsidRDefault="00551F1F" w:rsidP="00551F1F">
      <w:pPr>
        <w:pStyle w:val="Notelevel1"/>
        <w:ind w:left="1080" w:hanging="1080"/>
      </w:pPr>
      <w:r w:rsidRPr="001B79CE">
        <w:t>NOTE</w:t>
      </w:r>
      <w:r w:rsidRPr="001B79CE">
        <w:tab/>
        <w:t>–</w:t>
      </w:r>
      <w:r w:rsidRPr="001B79CE">
        <w:tab/>
      </w:r>
      <w:r>
        <w:t>The security block’s security context parameters and Local Security Context Parameters may provide conflicting values for the same parameter</w:t>
      </w:r>
      <w:r w:rsidRPr="00D15E2E">
        <w:t>.</w:t>
      </w:r>
    </w:p>
    <w:p w14:paraId="1078DA79" w14:textId="77777777" w:rsidR="005464B3" w:rsidRDefault="005464B3" w:rsidP="005464B3"/>
    <w:p w14:paraId="0761FF0B" w14:textId="77777777" w:rsidR="005464B3" w:rsidRDefault="005464B3" w:rsidP="005464B3">
      <w:pPr>
        <w:pStyle w:val="Heading3"/>
        <w:numPr>
          <w:ilvl w:val="2"/>
          <w:numId w:val="1"/>
        </w:numPr>
      </w:pPr>
      <w:r>
        <w:t>Return Parameters</w:t>
      </w:r>
    </w:p>
    <w:p w14:paraId="55820D7B" w14:textId="06375DB7" w:rsidR="005464B3" w:rsidRDefault="00294D99" w:rsidP="00F83FAB">
      <w:pPr>
        <w:pStyle w:val="Heading4"/>
        <w:numPr>
          <w:ilvl w:val="3"/>
          <w:numId w:val="1"/>
        </w:numPr>
        <w:tabs>
          <w:tab w:val="clear" w:pos="1987"/>
        </w:tabs>
        <w:ind w:left="0"/>
      </w:pPr>
      <w:r>
        <w:t>AcceptIntegrity</w:t>
      </w:r>
      <w:r w:rsidR="005464B3">
        <w:t xml:space="preserve"> Return</w:t>
      </w:r>
    </w:p>
    <w:p w14:paraId="794C0245" w14:textId="77777777" w:rsidR="005464B3" w:rsidRDefault="005464B3" w:rsidP="005464B3"/>
    <w:p w14:paraId="7400020E" w14:textId="0F6928BC" w:rsidR="005464B3" w:rsidRDefault="005464B3" w:rsidP="005464B3">
      <w:r>
        <w:t xml:space="preserve">The </w:t>
      </w:r>
      <w:r w:rsidR="00294D99">
        <w:t>AcceptIntegrity</w:t>
      </w:r>
      <w:r>
        <w:t xml:space="preserve"> Return shall consist of a result code and a modified bundle. </w:t>
      </w:r>
    </w:p>
    <w:p w14:paraId="3F5BCFFE" w14:textId="77777777" w:rsidR="005464B3" w:rsidRDefault="005464B3" w:rsidP="005464B3"/>
    <w:p w14:paraId="40471552" w14:textId="77777777" w:rsidR="005464B3" w:rsidRDefault="005464B3" w:rsidP="005464B3">
      <w:r>
        <w:lastRenderedPageBreak/>
        <w:t xml:space="preserve">The result code will signify if the integrity of the target block was verified. Implementations may choose to return additional result codes to document exactly why the integrity verification failed. </w:t>
      </w:r>
    </w:p>
    <w:p w14:paraId="0209C0A9" w14:textId="77777777" w:rsidR="005464B3" w:rsidRDefault="005464B3" w:rsidP="005464B3"/>
    <w:p w14:paraId="4B30CD04" w14:textId="20E7FD12" w:rsidR="005464B3" w:rsidRDefault="005464B3" w:rsidP="005464B3">
      <w:r>
        <w:t xml:space="preserve">The target bundle will be modified such that the security block created by the </w:t>
      </w:r>
      <w:proofErr w:type="spellStart"/>
      <w:r>
        <w:t>ApplyIntegrity</w:t>
      </w:r>
      <w:proofErr w:type="spellEnd"/>
      <w:r>
        <w:t xml:space="preserve"> function at the bundle source is removed from the bundle. </w:t>
      </w:r>
    </w:p>
    <w:p w14:paraId="7EE45083" w14:textId="77777777" w:rsidR="0034080E" w:rsidRDefault="0034080E" w:rsidP="005464B3"/>
    <w:p w14:paraId="2A35E015" w14:textId="5957A42E" w:rsidR="005464B3" w:rsidRDefault="00294D99" w:rsidP="00F83FAB">
      <w:pPr>
        <w:pStyle w:val="Heading4"/>
        <w:numPr>
          <w:ilvl w:val="3"/>
          <w:numId w:val="1"/>
        </w:numPr>
        <w:tabs>
          <w:tab w:val="clear" w:pos="1987"/>
        </w:tabs>
        <w:ind w:left="0"/>
      </w:pPr>
      <w:r>
        <w:t>AcceptConfidentiality</w:t>
      </w:r>
      <w:r w:rsidR="005464B3">
        <w:t xml:space="preserve"> Return</w:t>
      </w:r>
    </w:p>
    <w:p w14:paraId="6FE25700" w14:textId="77777777" w:rsidR="005464B3" w:rsidRDefault="005464B3" w:rsidP="005464B3"/>
    <w:p w14:paraId="198E99FC" w14:textId="77777777" w:rsidR="00D74371" w:rsidRDefault="00D74371" w:rsidP="00D74371">
      <w:pPr>
        <w:jc w:val="both"/>
      </w:pPr>
      <w:r>
        <w:t xml:space="preserve">The AcceptConfidentiality Return shall consist of a result code and a modified bundle. </w:t>
      </w:r>
    </w:p>
    <w:p w14:paraId="0EB6293F" w14:textId="77777777" w:rsidR="00D74371" w:rsidRDefault="00D74371" w:rsidP="00D74371"/>
    <w:p w14:paraId="7D592169" w14:textId="77777777" w:rsidR="00D74371" w:rsidRDefault="00D74371" w:rsidP="00D74371">
      <w:pPr>
        <w:jc w:val="both"/>
      </w:pPr>
      <w:r>
        <w:t>The result code will signify if the confidentiality of the target block was successfully removed. Implementations may choose to return additional result codes to provide more detailed status.</w:t>
      </w:r>
    </w:p>
    <w:p w14:paraId="5F63BCF1" w14:textId="77777777" w:rsidR="00D74371" w:rsidRDefault="00D74371" w:rsidP="00D74371"/>
    <w:p w14:paraId="105456E0" w14:textId="03D88925" w:rsidR="00D74371" w:rsidRDefault="00D74371" w:rsidP="00D74371">
      <w:pPr>
        <w:jc w:val="both"/>
      </w:pPr>
      <w:r>
        <w:t xml:space="preserve">The target bundle will be modified in two ways. First, the security block associated with the removed confidentiality service will be removed from the target bundle. Second, the target block of the confidentiality service will be modified based on whether confidentiality was successfully removed. If confidentiality removal was successful, the cipher text contents of the target block will be replaced by the plain text output from the </w:t>
      </w:r>
      <w:r w:rsidR="00C772DB">
        <w:t>security context</w:t>
      </w:r>
      <w:r>
        <w:t xml:space="preserve">. If confidentiality removal was not successful, the target block will be removed from the bundle. </w:t>
      </w:r>
    </w:p>
    <w:p w14:paraId="6526D9E8" w14:textId="77777777" w:rsidR="00A72C46" w:rsidRDefault="00A72C46" w:rsidP="00A72C46"/>
    <w:p w14:paraId="724FE107" w14:textId="10E30006" w:rsidR="005464B3" w:rsidRDefault="005464B3" w:rsidP="00A72C46"/>
    <w:p w14:paraId="024152C0" w14:textId="77777777" w:rsidR="00485F2A" w:rsidRDefault="00485F2A" w:rsidP="00485F2A">
      <w:pPr>
        <w:pStyle w:val="Heading1"/>
        <w:sectPr w:rsidR="00485F2A" w:rsidSect="00485F2A">
          <w:footerReference w:type="default" r:id="rId15"/>
          <w:pgSz w:w="12240" w:h="15840"/>
          <w:pgMar w:top="1440" w:right="1440" w:bottom="1440" w:left="1440" w:header="547" w:footer="547" w:gutter="360"/>
          <w:pgNumType w:start="1" w:chapStyle="1"/>
          <w:cols w:space="720"/>
          <w:docGrid w:linePitch="360"/>
        </w:sectPr>
      </w:pPr>
      <w:bookmarkStart w:id="99" w:name="_Toc38644011"/>
      <w:bookmarkStart w:id="100" w:name="_Toc38978929"/>
      <w:bookmarkStart w:id="101" w:name="_Toc38978930"/>
      <w:bookmarkStart w:id="102" w:name="_Toc38978931"/>
      <w:bookmarkStart w:id="103" w:name="_Toc38978932"/>
      <w:bookmarkStart w:id="104" w:name="_Toc128466839"/>
      <w:bookmarkStart w:id="105" w:name="_Toc350520804"/>
      <w:bookmarkEnd w:id="99"/>
      <w:bookmarkEnd w:id="100"/>
      <w:bookmarkEnd w:id="101"/>
      <w:bookmarkEnd w:id="102"/>
      <w:bookmarkEnd w:id="103"/>
    </w:p>
    <w:p w14:paraId="4AB3B7D4" w14:textId="31ED9386" w:rsidR="000969EC" w:rsidRDefault="00644A25" w:rsidP="00485F2A">
      <w:pPr>
        <w:pStyle w:val="Heading1"/>
      </w:pPr>
      <w:bookmarkStart w:id="106" w:name="_Toc39246851"/>
      <w:r>
        <w:lastRenderedPageBreak/>
        <w:t xml:space="preserve">Protocol </w:t>
      </w:r>
      <w:r w:rsidRPr="00485F2A">
        <w:t>Specification</w:t>
      </w:r>
      <w:bookmarkEnd w:id="106"/>
    </w:p>
    <w:p w14:paraId="6BA01189" w14:textId="77777777" w:rsidR="000969EC" w:rsidRPr="000969EC" w:rsidRDefault="000969EC" w:rsidP="00644A25">
      <w:pPr>
        <w:pStyle w:val="Heading2"/>
      </w:pPr>
      <w:bookmarkStart w:id="107" w:name="_Toc39246852"/>
      <w:r>
        <w:t>Protocol Data Units</w:t>
      </w:r>
      <w:bookmarkEnd w:id="107"/>
    </w:p>
    <w:bookmarkEnd w:id="104"/>
    <w:bookmarkEnd w:id="105"/>
    <w:p w14:paraId="4A7C9F09" w14:textId="77777777" w:rsidR="00332FF3" w:rsidRPr="001B79CE" w:rsidRDefault="00332FF3" w:rsidP="00644A25">
      <w:pPr>
        <w:pStyle w:val="Heading3"/>
      </w:pPr>
      <w:r w:rsidRPr="001B79CE">
        <w:t>General</w:t>
      </w:r>
    </w:p>
    <w:p w14:paraId="29EDEE51" w14:textId="19573A55" w:rsidR="00332FF3" w:rsidRPr="000969EC" w:rsidRDefault="00332FF3" w:rsidP="00644A25">
      <w:pPr>
        <w:pStyle w:val="Paragraph4"/>
      </w:pPr>
      <w:bookmarkStart w:id="108" w:name="_Ref493084021"/>
      <w:r w:rsidRPr="000969EC">
        <w:t xml:space="preserve">Bundles that implement security services may include zero or more instances of the following </w:t>
      </w:r>
      <w:r w:rsidR="00EB0625">
        <w:t>security blocks</w:t>
      </w:r>
      <w:r w:rsidRPr="000969EC">
        <w:t xml:space="preserve"> subject to the constraints in this section.</w:t>
      </w:r>
      <w:bookmarkEnd w:id="108"/>
    </w:p>
    <w:p w14:paraId="27DC6F4C" w14:textId="42658FE1" w:rsidR="00332FF3" w:rsidRPr="001B79CE" w:rsidRDefault="00332FF3" w:rsidP="00C818EF">
      <w:pPr>
        <w:pStyle w:val="List"/>
        <w:numPr>
          <w:ilvl w:val="0"/>
          <w:numId w:val="7"/>
        </w:numPr>
        <w:tabs>
          <w:tab w:val="clear" w:pos="360"/>
          <w:tab w:val="num" w:pos="720"/>
        </w:tabs>
        <w:ind w:left="720"/>
        <w:pPrChange w:id="109" w:author="Birrane, Edward J." w:date="2020-05-01T17:51:00Z">
          <w:pPr>
            <w:pStyle w:val="List"/>
            <w:numPr>
              <w:numId w:val="12"/>
            </w:numPr>
            <w:tabs>
              <w:tab w:val="num" w:pos="720"/>
            </w:tabs>
          </w:pPr>
        </w:pPrChange>
      </w:pPr>
      <w:r w:rsidRPr="001B79CE">
        <w:t>B</w:t>
      </w:r>
      <w:r w:rsidR="000937A6">
        <w:t>lock</w:t>
      </w:r>
      <w:r w:rsidRPr="001B79CE">
        <w:t xml:space="preserve"> Integrity Block (BIB)</w:t>
      </w:r>
      <w:r>
        <w:t>;</w:t>
      </w:r>
    </w:p>
    <w:p w14:paraId="4EA6703B" w14:textId="15ECD7AC" w:rsidR="00332FF3" w:rsidRPr="001B79CE" w:rsidRDefault="00332FF3" w:rsidP="00332FF3">
      <w:pPr>
        <w:pStyle w:val="Notelevel2"/>
      </w:pPr>
      <w:r w:rsidRPr="001B79CE">
        <w:t>NOTE</w:t>
      </w:r>
      <w:r w:rsidRPr="001B79CE">
        <w:tab/>
        <w:t>–</w:t>
      </w:r>
      <w:r w:rsidRPr="001B79CE">
        <w:tab/>
        <w:t xml:space="preserve">The BIB is used to ensure the integrity of its </w:t>
      </w:r>
      <w:r w:rsidR="000937A6">
        <w:t xml:space="preserve">plain text </w:t>
      </w:r>
      <w:r w:rsidRPr="001B79CE">
        <w:t>target</w:t>
      </w:r>
      <w:r w:rsidR="00543561">
        <w:t xml:space="preserve"> block</w:t>
      </w:r>
      <w:r w:rsidRPr="001B79CE">
        <w:t xml:space="preserve"> from the </w:t>
      </w:r>
      <w:r w:rsidR="00A113ED">
        <w:t>security</w:t>
      </w:r>
      <w:r w:rsidRPr="001B79CE">
        <w:t xml:space="preserve"> source, which </w:t>
      </w:r>
      <w:r w:rsidR="00694F4A">
        <w:t>calculates an integrity result</w:t>
      </w:r>
      <w:r w:rsidRPr="001B79CE">
        <w:t xml:space="preserve">, to the </w:t>
      </w:r>
      <w:r w:rsidR="006623C9">
        <w:t>security acceptor</w:t>
      </w:r>
      <w:r w:rsidRPr="001B79CE">
        <w:t xml:space="preserve">, which verifies </w:t>
      </w:r>
      <w:r w:rsidR="00694F4A">
        <w:t>that</w:t>
      </w:r>
      <w:r w:rsidRPr="006623C9">
        <w:t xml:space="preserve"> </w:t>
      </w:r>
      <w:r w:rsidR="006623C9" w:rsidRPr="00465D15">
        <w:t xml:space="preserve">integrity </w:t>
      </w:r>
      <w:r w:rsidR="00EC1734">
        <w:t>result</w:t>
      </w:r>
      <w:r w:rsidR="00694F4A">
        <w:t xml:space="preserve"> and removes</w:t>
      </w:r>
      <w:r w:rsidR="00543561">
        <w:t xml:space="preserve"> the BIB from the bundle</w:t>
      </w:r>
      <w:r w:rsidR="00A12AEF">
        <w:t>.</w:t>
      </w:r>
    </w:p>
    <w:p w14:paraId="622C550F" w14:textId="3A1A97A9" w:rsidR="00332FF3" w:rsidRPr="001B79CE" w:rsidRDefault="00332FF3" w:rsidP="00C818EF">
      <w:pPr>
        <w:pStyle w:val="List"/>
        <w:numPr>
          <w:ilvl w:val="0"/>
          <w:numId w:val="7"/>
        </w:numPr>
        <w:tabs>
          <w:tab w:val="clear" w:pos="360"/>
          <w:tab w:val="num" w:pos="720"/>
        </w:tabs>
        <w:ind w:left="720"/>
        <w:pPrChange w:id="110" w:author="Birrane, Edward J." w:date="2020-05-01T17:51:00Z">
          <w:pPr>
            <w:pStyle w:val="List"/>
            <w:numPr>
              <w:numId w:val="12"/>
            </w:numPr>
            <w:tabs>
              <w:tab w:val="num" w:pos="720"/>
            </w:tabs>
          </w:pPr>
        </w:pPrChange>
      </w:pPr>
      <w:r w:rsidRPr="001B79CE">
        <w:t>B</w:t>
      </w:r>
      <w:r w:rsidR="000937A6">
        <w:t>lock</w:t>
      </w:r>
      <w:r w:rsidRPr="001B79CE">
        <w:t xml:space="preserve"> Confidentiality Block (BCB)</w:t>
      </w:r>
      <w:r>
        <w:t>.</w:t>
      </w:r>
    </w:p>
    <w:p w14:paraId="59C8012E" w14:textId="2F1AB03D" w:rsidR="00332FF3" w:rsidRPr="001B79CE" w:rsidRDefault="00332FF3" w:rsidP="00332FF3">
      <w:pPr>
        <w:pStyle w:val="Notelevel2"/>
      </w:pPr>
      <w:r w:rsidRPr="001B79CE">
        <w:t>NOTE</w:t>
      </w:r>
      <w:r w:rsidRPr="001B79CE">
        <w:tab/>
        <w:t>–</w:t>
      </w:r>
      <w:r w:rsidRPr="001B79CE">
        <w:tab/>
      </w:r>
      <w:r w:rsidR="00AF4286" w:rsidRPr="00AF4286">
        <w:t xml:space="preserve">The BCB </w:t>
      </w:r>
      <w:r w:rsidR="001D7C96">
        <w:t xml:space="preserve">is used to ensure the confidentiality of its target block from the security source, </w:t>
      </w:r>
      <w:r w:rsidR="00322E51">
        <w:t xml:space="preserve">which provides authenticated </w:t>
      </w:r>
      <w:proofErr w:type="spellStart"/>
      <w:r w:rsidR="00695CE5">
        <w:t>encipherment</w:t>
      </w:r>
      <w:proofErr w:type="spellEnd"/>
      <w:r w:rsidR="001D7C96">
        <w:t>, to the security acceptor</w:t>
      </w:r>
      <w:r w:rsidR="00850CE2">
        <w:t xml:space="preserve"> which provides verified decip</w:t>
      </w:r>
      <w:r w:rsidR="0071751F">
        <w:t>h</w:t>
      </w:r>
      <w:r w:rsidR="00850CE2">
        <w:t>erment</w:t>
      </w:r>
      <w:r w:rsidR="00694F4A">
        <w:t xml:space="preserve"> and removes the BCB from the bundle.</w:t>
      </w:r>
    </w:p>
    <w:p w14:paraId="4824C0EB" w14:textId="2DE7E89B" w:rsidR="00332FF3" w:rsidRPr="000969EC" w:rsidRDefault="00332FF3" w:rsidP="00CE6CF2">
      <w:pPr>
        <w:pStyle w:val="Paragraph4"/>
      </w:pPr>
      <w:r w:rsidRPr="000969EC">
        <w:t xml:space="preserve">A security operation must not be applied </w:t>
      </w:r>
      <w:r w:rsidR="000937A6">
        <w:t>to a target</w:t>
      </w:r>
      <w:r w:rsidR="00656C3A">
        <w:t xml:space="preserve"> block</w:t>
      </w:r>
      <w:r w:rsidR="000937A6">
        <w:t xml:space="preserve"> </w:t>
      </w:r>
      <w:r w:rsidRPr="000969EC">
        <w:t>more than once in a bundle.</w:t>
      </w:r>
    </w:p>
    <w:p w14:paraId="4509C1B3" w14:textId="77777777" w:rsidR="00332FF3" w:rsidRPr="001B79CE" w:rsidRDefault="00332FF3" w:rsidP="00332FF3">
      <w:pPr>
        <w:pStyle w:val="Notelevel1"/>
      </w:pPr>
      <w:r w:rsidRPr="001B79CE">
        <w:t>NOTE</w:t>
      </w:r>
      <w:r w:rsidRPr="001B79CE">
        <w:tab/>
        <w:t>–</w:t>
      </w:r>
      <w:r w:rsidRPr="001B79CE">
        <w:tab/>
        <w:t xml:space="preserve">For example, the two security operations: (integrity, payload) and (integrity, payload) are considered redundant and cannot appear together in a bundle. However, the two security operations (integrity, payload) and (integrity, extension_block_1) may both be present in the bundle. Also, the two security operations (integrity, extension_block_1) and (integrity, extension_block_2) are unique and </w:t>
      </w:r>
      <w:proofErr w:type="gramStart"/>
      <w:r w:rsidRPr="001B79CE">
        <w:t>may</w:t>
      </w:r>
      <w:proofErr w:type="gramEnd"/>
      <w:r w:rsidRPr="001B79CE">
        <w:t xml:space="preserve"> both appear in the same bundle.</w:t>
      </w:r>
    </w:p>
    <w:p w14:paraId="279DA7AF" w14:textId="71DC0872" w:rsidR="00332FF3" w:rsidRDefault="003646FC" w:rsidP="00CE6CF2">
      <w:pPr>
        <w:pStyle w:val="Paragraph4"/>
      </w:pPr>
      <w:r>
        <w:t>T</w:t>
      </w:r>
      <w:r w:rsidR="00332FF3" w:rsidRPr="001B79CE">
        <w:t>he</w:t>
      </w:r>
      <w:r w:rsidR="00F20170">
        <w:t xml:space="preserve"> </w:t>
      </w:r>
      <w:r w:rsidR="00332FF3" w:rsidRPr="001B79CE">
        <w:t>block type that is the target of a security operation</w:t>
      </w:r>
      <w:r w:rsidR="00F20170">
        <w:t xml:space="preserve"> must identify a singleton block</w:t>
      </w:r>
      <w:r w:rsidR="00CD2C1F">
        <w:t>; the combination of security block type and target block type uniq</w:t>
      </w:r>
      <w:r w:rsidR="00F20170">
        <w:t>uely identifies a security operation</w:t>
      </w:r>
      <w:r w:rsidR="00CD2C1F">
        <w:t xml:space="preserve"> in the bundle. </w:t>
      </w:r>
    </w:p>
    <w:p w14:paraId="449B558F" w14:textId="4594E271" w:rsidR="007C231E" w:rsidRDefault="007C231E" w:rsidP="00CE6CF2">
      <w:pPr>
        <w:pStyle w:val="Paragraph4"/>
      </w:pPr>
      <w:r>
        <w:t xml:space="preserve">The security source of </w:t>
      </w:r>
      <w:r w:rsidR="00E20D89">
        <w:t>every</w:t>
      </w:r>
      <w:r>
        <w:t xml:space="preserve"> security block </w:t>
      </w:r>
      <w:r w:rsidR="009477E3">
        <w:t xml:space="preserve">in a bundle </w:t>
      </w:r>
      <w:r>
        <w:t xml:space="preserve">must be the </w:t>
      </w:r>
      <w:r w:rsidR="00656C3A">
        <w:t xml:space="preserve">BPA that added the target block to the bundle.  </w:t>
      </w:r>
    </w:p>
    <w:p w14:paraId="4F2AFA56" w14:textId="73FEFA0F" w:rsidR="00E478CC" w:rsidRPr="001B79CE" w:rsidRDefault="00E478CC" w:rsidP="00CE6CF2">
      <w:pPr>
        <w:pStyle w:val="Paragraph4"/>
      </w:pPr>
      <w:r>
        <w:t xml:space="preserve">Security blocks will be present only </w:t>
      </w:r>
      <w:r w:rsidR="004B10FD">
        <w:t xml:space="preserve">after the primary block and </w:t>
      </w:r>
      <w:r>
        <w:t>before the payload block in the bundle.</w:t>
      </w:r>
    </w:p>
    <w:p w14:paraId="6636B066" w14:textId="77777777" w:rsidR="00332FF3" w:rsidRPr="001B79CE" w:rsidRDefault="00332FF3" w:rsidP="00465D15">
      <w:pPr>
        <w:pStyle w:val="Heading3"/>
      </w:pPr>
      <w:bookmarkStart w:id="111" w:name="_Ref493083876"/>
      <w:r w:rsidRPr="001B79CE">
        <w:t>Canonicalization</w:t>
      </w:r>
      <w:bookmarkEnd w:id="111"/>
    </w:p>
    <w:p w14:paraId="553342FF" w14:textId="77777777" w:rsidR="005C4D87" w:rsidRDefault="005C4D87" w:rsidP="00332FF3"/>
    <w:p w14:paraId="5B1A325D" w14:textId="01F954B5" w:rsidR="00332FF3" w:rsidRPr="001B79CE" w:rsidRDefault="00332FF3" w:rsidP="00332FF3">
      <w:r w:rsidRPr="001B79CE">
        <w:t xml:space="preserve">Each security block must use the Canonical Bundle Block Format as defined in </w:t>
      </w:r>
      <w:r>
        <w:t xml:space="preserve">section </w:t>
      </w:r>
      <w:r w:rsidRPr="00047575">
        <w:t>4.5.2</w:t>
      </w:r>
      <w:r>
        <w:t xml:space="preserve"> of </w:t>
      </w:r>
      <w:r w:rsidRPr="001B79CE">
        <w:t xml:space="preserve">the Bundle Protocol Specification </w:t>
      </w:r>
      <w:r>
        <w:t xml:space="preserve">RFC </w:t>
      </w:r>
      <w:r w:rsidRPr="001B79CE">
        <w:t>(</w:t>
      </w:r>
      <w:proofErr w:type="gramStart"/>
      <w:r w:rsidRPr="001B79CE">
        <w:t>reference</w:t>
      </w:r>
      <w:proofErr w:type="gramEnd"/>
      <w:r w:rsidR="00503C17">
        <w:fldChar w:fldCharType="begin"/>
      </w:r>
      <w:r w:rsidR="00503C17">
        <w:instrText xml:space="preserve"> REF R_734x2b1CcsdsBundleProtocolSpecificatio \h </w:instrText>
      </w:r>
      <w:r w:rsidR="00503C17">
        <w:fldChar w:fldCharType="separate"/>
      </w:r>
      <w:r w:rsidR="00CE6CF2" w:rsidRPr="001B79CE">
        <w:t>[</w:t>
      </w:r>
      <w:r w:rsidR="00CE6CF2">
        <w:rPr>
          <w:noProof/>
        </w:rPr>
        <w:t>1</w:t>
      </w:r>
      <w:r w:rsidR="00CE6CF2" w:rsidRPr="001B79CE">
        <w:t>]</w:t>
      </w:r>
      <w:r w:rsidR="00503C17">
        <w:fldChar w:fldCharType="end"/>
      </w:r>
      <w:r w:rsidRPr="001B79CE">
        <w:t>).</w:t>
      </w:r>
    </w:p>
    <w:p w14:paraId="170AF68D" w14:textId="4632C05A" w:rsidR="00332FF3" w:rsidRPr="001B79CE" w:rsidRDefault="00332FF3" w:rsidP="00332FF3">
      <w:pPr>
        <w:pStyle w:val="Notelevel1"/>
      </w:pPr>
      <w:r w:rsidRPr="001B79CE">
        <w:t>NOTE</w:t>
      </w:r>
      <w:r w:rsidRPr="001B79CE">
        <w:tab/>
        <w:t>–</w:t>
      </w:r>
      <w:r w:rsidRPr="001B79CE">
        <w:tab/>
        <w:t>Each security block thus comprises the following elements</w:t>
      </w:r>
      <w:r w:rsidR="0055274B">
        <w:t>, in the order which they are presented here</w:t>
      </w:r>
      <w:r w:rsidRPr="001B79CE">
        <w:t>:</w:t>
      </w:r>
    </w:p>
    <w:p w14:paraId="1AA12DC1" w14:textId="77777777" w:rsidR="00332FF3" w:rsidRPr="001B79CE" w:rsidRDefault="00332FF3" w:rsidP="00C818EF">
      <w:pPr>
        <w:pStyle w:val="List"/>
        <w:numPr>
          <w:ilvl w:val="0"/>
          <w:numId w:val="5"/>
        </w:numPr>
        <w:ind w:left="1530"/>
        <w:pPrChange w:id="112" w:author="Birrane, Edward J." w:date="2020-05-01T17:51:00Z">
          <w:pPr>
            <w:pStyle w:val="List"/>
            <w:numPr>
              <w:numId w:val="7"/>
            </w:numPr>
            <w:tabs>
              <w:tab w:val="num" w:pos="360"/>
            </w:tabs>
            <w:ind w:left="1530"/>
          </w:pPr>
        </w:pPrChange>
      </w:pPr>
      <w:r w:rsidRPr="001B79CE">
        <w:lastRenderedPageBreak/>
        <w:t>Block Type Code;</w:t>
      </w:r>
    </w:p>
    <w:p w14:paraId="3465173C" w14:textId="77777777" w:rsidR="00332FF3" w:rsidRPr="001B79CE" w:rsidRDefault="00332FF3" w:rsidP="00C818EF">
      <w:pPr>
        <w:pStyle w:val="List"/>
        <w:numPr>
          <w:ilvl w:val="0"/>
          <w:numId w:val="5"/>
        </w:numPr>
        <w:ind w:left="1530"/>
        <w:pPrChange w:id="113" w:author="Birrane, Edward J." w:date="2020-05-01T17:51:00Z">
          <w:pPr>
            <w:pStyle w:val="List"/>
            <w:numPr>
              <w:numId w:val="7"/>
            </w:numPr>
            <w:tabs>
              <w:tab w:val="num" w:pos="360"/>
            </w:tabs>
            <w:ind w:left="1530"/>
          </w:pPr>
        </w:pPrChange>
      </w:pPr>
      <w:r w:rsidRPr="001B79CE">
        <w:t>Block Processing Control Flags;</w:t>
      </w:r>
    </w:p>
    <w:p w14:paraId="253935A3" w14:textId="77777777" w:rsidR="00332FF3" w:rsidRPr="004611D9" w:rsidRDefault="00332FF3" w:rsidP="00C818EF">
      <w:pPr>
        <w:pStyle w:val="List"/>
        <w:numPr>
          <w:ilvl w:val="0"/>
          <w:numId w:val="5"/>
        </w:numPr>
        <w:ind w:left="1530"/>
        <w:pPrChange w:id="114" w:author="Birrane, Edward J." w:date="2020-05-01T17:51:00Z">
          <w:pPr>
            <w:pStyle w:val="List"/>
            <w:numPr>
              <w:numId w:val="7"/>
            </w:numPr>
            <w:tabs>
              <w:tab w:val="num" w:pos="360"/>
            </w:tabs>
            <w:ind w:left="1530"/>
          </w:pPr>
        </w:pPrChange>
      </w:pPr>
      <w:commentRangeStart w:id="115"/>
      <w:r w:rsidRPr="004611D9">
        <w:t>Block EID Reference List (optional);</w:t>
      </w:r>
      <w:commentRangeEnd w:id="115"/>
      <w:r w:rsidR="004611D9">
        <w:rPr>
          <w:rStyle w:val="CommentReference"/>
        </w:rPr>
        <w:commentReference w:id="115"/>
      </w:r>
    </w:p>
    <w:p w14:paraId="1ECB63B7" w14:textId="77777777" w:rsidR="00332FF3" w:rsidRPr="001B79CE" w:rsidRDefault="00332FF3" w:rsidP="00C818EF">
      <w:pPr>
        <w:pStyle w:val="List"/>
        <w:numPr>
          <w:ilvl w:val="0"/>
          <w:numId w:val="5"/>
        </w:numPr>
        <w:ind w:left="1530"/>
        <w:pPrChange w:id="116" w:author="Birrane, Edward J." w:date="2020-05-01T17:51:00Z">
          <w:pPr>
            <w:pStyle w:val="List"/>
            <w:numPr>
              <w:numId w:val="7"/>
            </w:numPr>
            <w:tabs>
              <w:tab w:val="num" w:pos="360"/>
            </w:tabs>
            <w:ind w:left="1530"/>
          </w:pPr>
        </w:pPrChange>
      </w:pPr>
      <w:r w:rsidRPr="001B79CE">
        <w:t>Block Data Length;</w:t>
      </w:r>
    </w:p>
    <w:p w14:paraId="7BBD317A" w14:textId="0A2E24FD" w:rsidR="00332FF3" w:rsidRDefault="00332FF3" w:rsidP="00C818EF">
      <w:pPr>
        <w:pStyle w:val="List"/>
        <w:numPr>
          <w:ilvl w:val="0"/>
          <w:numId w:val="5"/>
        </w:numPr>
        <w:ind w:left="1530"/>
        <w:pPrChange w:id="117" w:author="Birrane, Edward J." w:date="2020-05-01T17:51:00Z">
          <w:pPr>
            <w:pStyle w:val="List"/>
            <w:numPr>
              <w:numId w:val="7"/>
            </w:numPr>
            <w:tabs>
              <w:tab w:val="num" w:pos="360"/>
            </w:tabs>
            <w:ind w:left="1530"/>
          </w:pPr>
        </w:pPrChange>
      </w:pPr>
      <w:r w:rsidRPr="001B79CE">
        <w:t>Block</w:t>
      </w:r>
      <w:r w:rsidR="002E60D2">
        <w:t>-</w:t>
      </w:r>
      <w:r w:rsidRPr="001B79CE">
        <w:t>Type</w:t>
      </w:r>
      <w:r w:rsidR="002E60D2">
        <w:t>-</w:t>
      </w:r>
      <w:r w:rsidRPr="001B79CE">
        <w:t>Specific Data Fields.</w:t>
      </w:r>
      <w:r w:rsidR="00810964">
        <w:t xml:space="preserve"> </w:t>
      </w:r>
    </w:p>
    <w:p w14:paraId="5B9E4DF4" w14:textId="77777777" w:rsidR="00810964" w:rsidRPr="001B79CE" w:rsidRDefault="00810964" w:rsidP="00465D15">
      <w:pPr>
        <w:pStyle w:val="List"/>
        <w:ind w:left="0" w:firstLine="0"/>
      </w:pPr>
    </w:p>
    <w:p w14:paraId="242018E5" w14:textId="77777777" w:rsidR="00332FF3" w:rsidRPr="000969EC" w:rsidRDefault="00332FF3" w:rsidP="00465D15">
      <w:pPr>
        <w:pStyle w:val="Heading3"/>
      </w:pPr>
      <w:bookmarkStart w:id="118" w:name="_Ref493083887"/>
      <w:r w:rsidRPr="000969EC">
        <w:t>Generic Security Block Structure</w:t>
      </w:r>
      <w:bookmarkEnd w:id="118"/>
    </w:p>
    <w:p w14:paraId="7E67E187" w14:textId="00F4E14C" w:rsidR="00332FF3" w:rsidRDefault="00332FF3" w:rsidP="00CE6CF2">
      <w:pPr>
        <w:pStyle w:val="Paragraph4"/>
      </w:pPr>
      <w:r w:rsidRPr="001B79CE">
        <w:t xml:space="preserve">The structures of the BIB and BCB </w:t>
      </w:r>
      <w:r w:rsidR="002E60D2">
        <w:t>block-type-specific d</w:t>
      </w:r>
      <w:r w:rsidRPr="001B79CE">
        <w:t xml:space="preserve">ata </w:t>
      </w:r>
      <w:r w:rsidR="002E60D2">
        <w:t>f</w:t>
      </w:r>
      <w:r w:rsidRPr="001B79CE">
        <w:t xml:space="preserve">ields are identical and shall follow the Generic Security Block Structure (GSBS) as illustrated in figure </w:t>
      </w:r>
      <w:r w:rsidRPr="001B79CE">
        <w:fldChar w:fldCharType="begin"/>
      </w:r>
      <w:r w:rsidRPr="001B79CE">
        <w:instrText xml:space="preserve"> REF F_301BIBandBCBBlockStructure \h </w:instrText>
      </w:r>
      <w:r w:rsidR="000969EC">
        <w:instrText xml:space="preserve"> \* MERGEFORMAT </w:instrText>
      </w:r>
      <w:r w:rsidRPr="001B79CE">
        <w:fldChar w:fldCharType="separate"/>
      </w:r>
      <w:r w:rsidR="000969EC">
        <w:rPr>
          <w:noProof/>
        </w:rPr>
        <w:t>4</w:t>
      </w:r>
      <w:r w:rsidR="000969EC" w:rsidRPr="001B79CE">
        <w:rPr>
          <w:noProof/>
        </w:rPr>
        <w:noBreakHyphen/>
      </w:r>
      <w:r w:rsidR="000969EC">
        <w:rPr>
          <w:noProof/>
        </w:rPr>
        <w:t>1</w:t>
      </w:r>
      <w:r w:rsidRPr="001B79CE">
        <w:fldChar w:fldCharType="end"/>
      </w:r>
      <w:r w:rsidRPr="001B79CE">
        <w:t>.</w:t>
      </w:r>
    </w:p>
    <w:p w14:paraId="4F5D8622" w14:textId="77777777" w:rsidR="004603CB" w:rsidRDefault="004603CB" w:rsidP="00465D15">
      <w:pPr>
        <w:pStyle w:val="Paragraph4"/>
        <w:numPr>
          <w:ilvl w:val="0"/>
          <w:numId w:val="0"/>
        </w:num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204"/>
        <w:gridCol w:w="3330"/>
      </w:tblGrid>
      <w:tr w:rsidR="006C71C2" w:rsidRPr="001B79CE" w14:paraId="1C7BC081" w14:textId="77777777" w:rsidTr="00390136">
        <w:trPr>
          <w:trHeight w:val="751"/>
          <w:jc w:val="center"/>
        </w:trPr>
        <w:tc>
          <w:tcPr>
            <w:tcW w:w="6534" w:type="dxa"/>
            <w:gridSpan w:val="2"/>
            <w:shd w:val="clear" w:color="auto" w:fill="auto"/>
            <w:vAlign w:val="center"/>
          </w:tcPr>
          <w:p w14:paraId="0D0A634F" w14:textId="77777777" w:rsidR="006C71C2" w:rsidRDefault="006C71C2" w:rsidP="00E85F56">
            <w:pPr>
              <w:pStyle w:val="TableCell--Coding"/>
              <w:spacing w:before="0" w:line="240" w:lineRule="auto"/>
              <w:jc w:val="center"/>
            </w:pPr>
          </w:p>
          <w:p w14:paraId="70489613" w14:textId="4D73CCF7" w:rsidR="006C71C2" w:rsidRDefault="006C71C2" w:rsidP="00E85F56">
            <w:pPr>
              <w:pStyle w:val="TableCell--Coding"/>
              <w:spacing w:before="0" w:line="240" w:lineRule="auto"/>
              <w:jc w:val="center"/>
            </w:pPr>
            <w:r>
              <w:t>Target Block Type</w:t>
            </w:r>
          </w:p>
          <w:p w14:paraId="72012CEF" w14:textId="77777777" w:rsidR="006C71C2" w:rsidRPr="001B79CE" w:rsidRDefault="006C71C2" w:rsidP="00E85F56">
            <w:pPr>
              <w:pStyle w:val="TableCell--Coding"/>
              <w:spacing w:before="0" w:line="240" w:lineRule="auto"/>
              <w:jc w:val="center"/>
            </w:pPr>
            <w:r>
              <w:t>(SDNV)</w:t>
            </w:r>
          </w:p>
          <w:p w14:paraId="353A6685" w14:textId="06618BC0" w:rsidR="006C71C2" w:rsidRPr="001B79CE" w:rsidRDefault="006C71C2" w:rsidP="00E85F56">
            <w:pPr>
              <w:pStyle w:val="TableCell--Coding"/>
              <w:spacing w:before="0" w:line="240" w:lineRule="auto"/>
              <w:jc w:val="center"/>
            </w:pPr>
          </w:p>
        </w:tc>
      </w:tr>
      <w:tr w:rsidR="00332FF3" w:rsidRPr="001B79CE" w14:paraId="4DB91FC8" w14:textId="77777777" w:rsidTr="00E85F56">
        <w:trPr>
          <w:trHeight w:val="751"/>
          <w:jc w:val="center"/>
        </w:trPr>
        <w:tc>
          <w:tcPr>
            <w:tcW w:w="3204" w:type="dxa"/>
            <w:shd w:val="clear" w:color="auto" w:fill="auto"/>
            <w:vAlign w:val="center"/>
          </w:tcPr>
          <w:p w14:paraId="5294D394" w14:textId="673AFA52" w:rsidR="00332FF3" w:rsidRPr="001B79CE" w:rsidRDefault="00DD291E" w:rsidP="00465D15">
            <w:pPr>
              <w:pStyle w:val="TableCell--Coding"/>
              <w:spacing w:before="0" w:line="240" w:lineRule="auto"/>
              <w:jc w:val="center"/>
            </w:pPr>
            <w:r>
              <w:t>Security Context</w:t>
            </w:r>
            <w:r w:rsidR="00332FF3" w:rsidRPr="001B79CE">
              <w:t xml:space="preserve"> ID (SDNV)</w:t>
            </w:r>
          </w:p>
        </w:tc>
        <w:tc>
          <w:tcPr>
            <w:tcW w:w="3330" w:type="dxa"/>
            <w:shd w:val="clear" w:color="auto" w:fill="auto"/>
            <w:vAlign w:val="center"/>
          </w:tcPr>
          <w:p w14:paraId="3285AFE1" w14:textId="5CA2171F" w:rsidR="00332FF3" w:rsidRPr="001B79CE" w:rsidRDefault="008A6644" w:rsidP="00E85F56">
            <w:pPr>
              <w:pStyle w:val="TableCell--Coding"/>
              <w:spacing w:before="0" w:line="240" w:lineRule="auto"/>
              <w:jc w:val="center"/>
            </w:pPr>
            <w:r>
              <w:t>Security Block</w:t>
            </w:r>
            <w:r w:rsidR="00332FF3" w:rsidRPr="001B79CE">
              <w:t xml:space="preserve"> Flags (SDNV)</w:t>
            </w:r>
          </w:p>
        </w:tc>
      </w:tr>
      <w:tr w:rsidR="00332FF3" w:rsidRPr="001B79CE" w14:paraId="42468584" w14:textId="77777777" w:rsidTr="00E85F56">
        <w:trPr>
          <w:trHeight w:val="751"/>
          <w:jc w:val="center"/>
        </w:trPr>
        <w:tc>
          <w:tcPr>
            <w:tcW w:w="3204" w:type="dxa"/>
            <w:shd w:val="clear" w:color="auto" w:fill="auto"/>
            <w:vAlign w:val="center"/>
          </w:tcPr>
          <w:p w14:paraId="52051BB7" w14:textId="515DD95A" w:rsidR="00332FF3" w:rsidRPr="001B79CE" w:rsidRDefault="00332FF3" w:rsidP="00E85F56">
            <w:pPr>
              <w:pStyle w:val="TableCell--Coding"/>
              <w:spacing w:before="0" w:line="240" w:lineRule="auto"/>
              <w:jc w:val="center"/>
            </w:pPr>
            <w:r w:rsidRPr="001B79CE">
              <w:t xml:space="preserve"> *</w:t>
            </w:r>
            <w:r w:rsidR="00DD291E">
              <w:t>Security Context</w:t>
            </w:r>
            <w:r w:rsidRPr="001B79CE">
              <w:t xml:space="preserve"> Parameters Length (SDNV)</w:t>
            </w:r>
          </w:p>
        </w:tc>
        <w:tc>
          <w:tcPr>
            <w:tcW w:w="3330" w:type="dxa"/>
            <w:shd w:val="clear" w:color="auto" w:fill="auto"/>
            <w:vAlign w:val="center"/>
          </w:tcPr>
          <w:p w14:paraId="29051014" w14:textId="18682A6A" w:rsidR="00332FF3" w:rsidRPr="001B79CE" w:rsidRDefault="00332FF3" w:rsidP="00E85F56">
            <w:pPr>
              <w:pStyle w:val="TableCell--Coding"/>
              <w:spacing w:before="0" w:line="240" w:lineRule="auto"/>
              <w:jc w:val="center"/>
            </w:pPr>
            <w:r w:rsidRPr="001B79CE">
              <w:t xml:space="preserve"> *</w:t>
            </w:r>
            <w:r w:rsidR="00DD291E">
              <w:t>Security Context</w:t>
            </w:r>
            <w:r w:rsidRPr="001B79CE">
              <w:t xml:space="preserve"> Parameters Data (Compound)</w:t>
            </w:r>
          </w:p>
        </w:tc>
      </w:tr>
      <w:tr w:rsidR="00332FF3" w:rsidRPr="001B79CE" w14:paraId="5C53D0D0" w14:textId="77777777" w:rsidTr="00E85F56">
        <w:trPr>
          <w:trHeight w:val="751"/>
          <w:jc w:val="center"/>
        </w:trPr>
        <w:tc>
          <w:tcPr>
            <w:tcW w:w="3204" w:type="dxa"/>
            <w:shd w:val="clear" w:color="auto" w:fill="auto"/>
            <w:vAlign w:val="center"/>
          </w:tcPr>
          <w:p w14:paraId="267CDFE9" w14:textId="77777777" w:rsidR="00332FF3" w:rsidRPr="001B79CE" w:rsidRDefault="00332FF3" w:rsidP="00E85F56">
            <w:pPr>
              <w:pStyle w:val="TableCell--Coding"/>
              <w:spacing w:before="0" w:line="240" w:lineRule="auto"/>
              <w:jc w:val="center"/>
            </w:pPr>
            <w:commentRangeStart w:id="119"/>
            <w:r w:rsidRPr="001B79CE">
              <w:t>Security Result Length (SDNV)</w:t>
            </w:r>
            <w:commentRangeEnd w:id="119"/>
            <w:r w:rsidR="00876761">
              <w:rPr>
                <w:rStyle w:val="CommentReference"/>
                <w:rFonts w:ascii="Times New Roman" w:eastAsia="Times New Roman" w:hAnsi="Times New Roman" w:cs="Times New Roman"/>
                <w:kern w:val="0"/>
                <w:lang w:eastAsia="en-US"/>
              </w:rPr>
              <w:commentReference w:id="119"/>
            </w:r>
          </w:p>
        </w:tc>
        <w:tc>
          <w:tcPr>
            <w:tcW w:w="3330" w:type="dxa"/>
            <w:shd w:val="clear" w:color="auto" w:fill="auto"/>
            <w:vAlign w:val="center"/>
          </w:tcPr>
          <w:p w14:paraId="1FA6C803" w14:textId="77777777" w:rsidR="00332FF3" w:rsidRPr="001B79CE" w:rsidRDefault="00332FF3" w:rsidP="00E85F56">
            <w:pPr>
              <w:pStyle w:val="TableCell--Coding"/>
              <w:spacing w:before="0" w:line="240" w:lineRule="auto"/>
              <w:jc w:val="center"/>
            </w:pPr>
            <w:r w:rsidRPr="001B79CE">
              <w:t>Security Result Data (Compound)</w:t>
            </w:r>
          </w:p>
        </w:tc>
      </w:tr>
    </w:tbl>
    <w:p w14:paraId="167E9E79" w14:textId="211D19C1" w:rsidR="00332FF3" w:rsidRPr="001B79CE" w:rsidRDefault="00332FF3" w:rsidP="00332FF3">
      <w:pPr>
        <w:pStyle w:val="FigureTitle"/>
      </w:pPr>
      <w:bookmarkStart w:id="120" w:name="_Toc39247069"/>
      <w:r w:rsidRPr="001B79CE">
        <w:t xml:space="preserve">Figure </w:t>
      </w:r>
      <w:bookmarkStart w:id="121" w:name="F_301BIBandBCBBlockStructure"/>
      <w:r w:rsidR="005B6218">
        <w:fldChar w:fldCharType="begin"/>
      </w:r>
      <w:r w:rsidR="005B6218">
        <w:instrText xml:space="preserve"> STYLEREF 1 \s </w:instrText>
      </w:r>
      <w:r w:rsidR="005B6218">
        <w:fldChar w:fldCharType="separate"/>
      </w:r>
      <w:r w:rsidR="005B6218">
        <w:rPr>
          <w:noProof/>
        </w:rPr>
        <w:t>4</w:t>
      </w:r>
      <w:r w:rsidR="005B6218">
        <w:fldChar w:fldCharType="end"/>
      </w:r>
      <w:r w:rsidR="005B6218">
        <w:noBreakHyphen/>
      </w:r>
      <w:r w:rsidR="00326C41">
        <w:fldChar w:fldCharType="begin"/>
      </w:r>
      <w:r w:rsidR="00326C41">
        <w:instrText xml:space="preserve"> SEQ Figure \* ARABIC \s 1 </w:instrText>
      </w:r>
      <w:r w:rsidR="00326C41">
        <w:fldChar w:fldCharType="separate"/>
      </w:r>
      <w:r w:rsidR="005B6218">
        <w:rPr>
          <w:noProof/>
        </w:rPr>
        <w:t>1</w:t>
      </w:r>
      <w:r w:rsidR="00326C41">
        <w:rPr>
          <w:noProof/>
        </w:rPr>
        <w:fldChar w:fldCharType="end"/>
      </w:r>
      <w:bookmarkEnd w:id="121"/>
      <w:r w:rsidRPr="001B79CE">
        <w:fldChar w:fldCharType="begin"/>
      </w:r>
      <w:r w:rsidRPr="001B79CE">
        <w:instrText xml:space="preserve"> TC \f G "</w:instrText>
      </w:r>
      <w:fldSimple w:instr=" STYLEREF &quot;Heading 1&quot;\l \n \t \* MERGEFORMAT ">
        <w:bookmarkStart w:id="122" w:name="_Toc39189130"/>
        <w:r w:rsidR="000969EC">
          <w:rPr>
            <w:noProof/>
          </w:rPr>
          <w:instrText>4</w:instrText>
        </w:r>
      </w:fldSimple>
      <w:r w:rsidRPr="001B79CE">
        <w:instrText>-</w:instrText>
      </w:r>
      <w:fldSimple w:instr=" SEQ Figure_TOC \s 1 \* MERGEFORMAT ">
        <w:r w:rsidR="000969EC">
          <w:rPr>
            <w:noProof/>
          </w:rPr>
          <w:instrText>1</w:instrText>
        </w:r>
      </w:fldSimple>
      <w:r w:rsidRPr="001B79CE">
        <w:tab/>
        <w:instrText>BIB and BCB Block Structure</w:instrText>
      </w:r>
      <w:bookmarkEnd w:id="122"/>
      <w:r w:rsidRPr="001B79CE">
        <w:instrText>"</w:instrText>
      </w:r>
      <w:r w:rsidRPr="001B79CE">
        <w:fldChar w:fldCharType="end"/>
      </w:r>
      <w:r w:rsidRPr="001B79CE">
        <w:t xml:space="preserve">:  </w:t>
      </w:r>
      <w:r w:rsidR="009E06A3">
        <w:t>The Generic Security</w:t>
      </w:r>
      <w:r w:rsidRPr="001B79CE">
        <w:t xml:space="preserve"> Block Structure</w:t>
      </w:r>
      <w:bookmarkEnd w:id="120"/>
    </w:p>
    <w:p w14:paraId="12923272" w14:textId="7471C705" w:rsidR="00332FF3" w:rsidRPr="001B79CE" w:rsidRDefault="00332FF3" w:rsidP="00332FF3">
      <w:pPr>
        <w:pStyle w:val="Notelevel1"/>
        <w:keepNext/>
      </w:pPr>
      <w:r w:rsidRPr="001B79CE">
        <w:t>NOTES</w:t>
      </w:r>
    </w:p>
    <w:p w14:paraId="0DA5F285" w14:textId="4BECF6B6" w:rsidR="00332FF3" w:rsidRPr="001B79CE" w:rsidRDefault="00332FF3" w:rsidP="00C818EF">
      <w:pPr>
        <w:pStyle w:val="Noteslevel1"/>
        <w:numPr>
          <w:ilvl w:val="0"/>
          <w:numId w:val="6"/>
        </w:numPr>
        <w:pPrChange w:id="123" w:author="Birrane, Edward J." w:date="2020-05-01T17:51:00Z">
          <w:pPr>
            <w:pStyle w:val="Noteslevel1"/>
            <w:numPr>
              <w:numId w:val="11"/>
            </w:numPr>
            <w:tabs>
              <w:tab w:val="num" w:pos="360"/>
            </w:tabs>
            <w:ind w:left="360" w:hanging="360"/>
          </w:pPr>
        </w:pPrChange>
      </w:pPr>
      <w:r w:rsidRPr="001B79CE">
        <w:t>Although the diagram hints at a fixed-format layout, this is purely for the purpose of exposition. All fields are variable in length using SDNVs. In this figure, field names prefaced with ‘*’ are optional</w:t>
      </w:r>
      <w:r>
        <w:t>,</w:t>
      </w:r>
      <w:r w:rsidRPr="001B79CE">
        <w:t xml:space="preserve"> and their inclusion in the block is indicated by the </w:t>
      </w:r>
      <w:r w:rsidR="002444D7">
        <w:t>Security Block</w:t>
      </w:r>
      <w:r w:rsidR="002444D7" w:rsidRPr="001B79CE">
        <w:t xml:space="preserve"> </w:t>
      </w:r>
      <w:r w:rsidRPr="001B79CE">
        <w:t>Flags field.</w:t>
      </w:r>
    </w:p>
    <w:p w14:paraId="32558726" w14:textId="4B957832" w:rsidR="00332FF3" w:rsidRPr="001B79CE" w:rsidRDefault="00332FF3" w:rsidP="00C818EF">
      <w:pPr>
        <w:pStyle w:val="Noteslevel1"/>
        <w:numPr>
          <w:ilvl w:val="0"/>
          <w:numId w:val="6"/>
        </w:numPr>
        <w:pPrChange w:id="124" w:author="Birrane, Edward J." w:date="2020-05-01T17:51:00Z">
          <w:pPr>
            <w:pStyle w:val="Noteslevel1"/>
            <w:numPr>
              <w:numId w:val="11"/>
            </w:numPr>
            <w:tabs>
              <w:tab w:val="num" w:pos="360"/>
            </w:tabs>
            <w:ind w:left="360" w:hanging="360"/>
          </w:pPr>
        </w:pPrChange>
      </w:pPr>
      <w:r w:rsidRPr="001B79CE">
        <w:t xml:space="preserve">The format of compound fields is defined below in </w:t>
      </w:r>
      <w:r w:rsidRPr="001B79CE">
        <w:fldChar w:fldCharType="begin"/>
      </w:r>
      <w:r w:rsidRPr="001B79CE">
        <w:instrText xml:space="preserve"> REF _Ref491942122 \r \h </w:instrText>
      </w:r>
      <w:r w:rsidRPr="001B79CE">
        <w:fldChar w:fldCharType="separate"/>
      </w:r>
      <w:r w:rsidR="000969EC">
        <w:t>4.1.3.3</w:t>
      </w:r>
      <w:r w:rsidRPr="001B79CE">
        <w:fldChar w:fldCharType="end"/>
      </w:r>
      <w:r w:rsidRPr="001B79CE">
        <w:t>.</w:t>
      </w:r>
    </w:p>
    <w:p w14:paraId="162E8470" w14:textId="77777777" w:rsidR="00332FF3" w:rsidRPr="001B79CE" w:rsidRDefault="00332FF3" w:rsidP="00952F7B">
      <w:pPr>
        <w:pStyle w:val="Paragraph4"/>
      </w:pPr>
      <w:r w:rsidRPr="001B79CE">
        <w:t xml:space="preserve">The block fields are defined </w:t>
      </w:r>
      <w:r>
        <w:t>as follows.</w:t>
      </w:r>
    </w:p>
    <w:p w14:paraId="16E521FF" w14:textId="4C869914" w:rsidR="00332FF3" w:rsidRPr="001B79CE" w:rsidRDefault="00E057F5" w:rsidP="00952F7B">
      <w:pPr>
        <w:pStyle w:val="Paragraph5"/>
      </w:pPr>
      <w:r>
        <w:t>Target Block Type</w:t>
      </w:r>
      <w:r w:rsidR="00332FF3" w:rsidRPr="001B79CE">
        <w:t xml:space="preserve"> (</w:t>
      </w:r>
      <w:r w:rsidR="00EF618D">
        <w:t>SDNV</w:t>
      </w:r>
      <w:r w:rsidR="00332FF3" w:rsidRPr="001B79CE">
        <w:t>)</w:t>
      </w:r>
      <w:r w:rsidR="00332FF3">
        <w:t>—</w:t>
      </w:r>
      <w:proofErr w:type="gramStart"/>
      <w:r w:rsidR="00332FF3" w:rsidRPr="001B79CE">
        <w:t>The</w:t>
      </w:r>
      <w:proofErr w:type="gramEnd"/>
      <w:r w:rsidR="00332FF3" w:rsidRPr="001B79CE">
        <w:t xml:space="preserve"> </w:t>
      </w:r>
      <w:r w:rsidR="00EF618D">
        <w:t>singleton block type that uniquely identifies the target</w:t>
      </w:r>
      <w:r w:rsidR="00243B4E">
        <w:t xml:space="preserve"> block</w:t>
      </w:r>
      <w:r w:rsidR="00EF618D">
        <w:t xml:space="preserve"> </w:t>
      </w:r>
      <w:r w:rsidR="00332FF3" w:rsidRPr="001B79CE">
        <w:t xml:space="preserve">of the associated security operation. </w:t>
      </w:r>
    </w:p>
    <w:p w14:paraId="6F55F38C" w14:textId="67452D2B" w:rsidR="00332FF3" w:rsidRPr="000969EC" w:rsidRDefault="004C07C1" w:rsidP="00952F7B">
      <w:pPr>
        <w:pStyle w:val="Paragraph5"/>
      </w:pPr>
      <w:r>
        <w:t>Security Context</w:t>
      </w:r>
      <w:r w:rsidR="00332FF3" w:rsidRPr="000969EC">
        <w:t xml:space="preserve"> ID (SDNV)—</w:t>
      </w:r>
      <w:proofErr w:type="gramStart"/>
      <w:r w:rsidR="00332FF3" w:rsidRPr="000969EC">
        <w:t>The</w:t>
      </w:r>
      <w:proofErr w:type="gramEnd"/>
      <w:r w:rsidR="00332FF3" w:rsidRPr="000969EC">
        <w:t xml:space="preserve"> </w:t>
      </w:r>
      <w:r>
        <w:t>security context</w:t>
      </w:r>
      <w:r w:rsidR="00332FF3" w:rsidRPr="000969EC">
        <w:t xml:space="preserve"> used to implement the security service represented by this block and applied to </w:t>
      </w:r>
      <w:r w:rsidR="00244C5B">
        <w:t>the</w:t>
      </w:r>
      <w:r w:rsidR="00244C5B" w:rsidRPr="000969EC">
        <w:t xml:space="preserve"> </w:t>
      </w:r>
      <w:r w:rsidR="002247FB">
        <w:t>target</w:t>
      </w:r>
      <w:r w:rsidR="0063125C">
        <w:t xml:space="preserve"> block</w:t>
      </w:r>
      <w:r w:rsidR="00332FF3" w:rsidRPr="000969EC">
        <w:t>.</w:t>
      </w:r>
    </w:p>
    <w:p w14:paraId="4F6D3FBD" w14:textId="0F1A70A0" w:rsidR="00332FF3" w:rsidRPr="00C25F3B" w:rsidRDefault="00A92F22" w:rsidP="00952F7B">
      <w:pPr>
        <w:pStyle w:val="Paragraph5"/>
      </w:pPr>
      <w:r>
        <w:lastRenderedPageBreak/>
        <w:t>Security Block</w:t>
      </w:r>
      <w:r w:rsidR="00332FF3" w:rsidRPr="00644A25">
        <w:t xml:space="preserve"> </w:t>
      </w:r>
      <w:r>
        <w:t>F</w:t>
      </w:r>
      <w:r w:rsidR="00332FF3" w:rsidRPr="00644A25">
        <w:t>lags (SDNV)—</w:t>
      </w:r>
      <w:proofErr w:type="gramStart"/>
      <w:r>
        <w:t>These</w:t>
      </w:r>
      <w:proofErr w:type="gramEnd"/>
      <w:r>
        <w:t xml:space="preserve"> flags define which o</w:t>
      </w:r>
      <w:r w:rsidR="00332FF3" w:rsidRPr="00D1511D">
        <w:t>ptional security block fields</w:t>
      </w:r>
      <w:r>
        <w:t xml:space="preserve"> and other features are</w:t>
      </w:r>
      <w:r w:rsidR="00332FF3" w:rsidRPr="00D1511D">
        <w:t xml:space="preserve"> present in the block. The structure of the </w:t>
      </w:r>
      <w:r>
        <w:t>Security Block</w:t>
      </w:r>
      <w:r w:rsidR="00332FF3" w:rsidRPr="00D1511D">
        <w:t xml:space="preserve"> Flags field shall b</w:t>
      </w:r>
      <w:r w:rsidR="00332FF3" w:rsidRPr="005458D6">
        <w:t>e as shown in figure </w:t>
      </w:r>
      <w:r w:rsidR="00332FF3" w:rsidRPr="00C25F3B">
        <w:fldChar w:fldCharType="begin"/>
      </w:r>
      <w:r w:rsidR="00332FF3" w:rsidRPr="00C25F3B">
        <w:instrText xml:space="preserve"> REF F_302CipherSuiteFlags \h </w:instrText>
      </w:r>
      <w:r w:rsidR="000969EC">
        <w:instrText xml:space="preserve"> \* MERGEFORMAT </w:instrText>
      </w:r>
      <w:r w:rsidR="00332FF3" w:rsidRPr="00C25F3B">
        <w:fldChar w:fldCharType="separate"/>
      </w:r>
      <w:r w:rsidR="000969EC">
        <w:t>4</w:t>
      </w:r>
      <w:r w:rsidR="000969EC" w:rsidRPr="001B79CE">
        <w:noBreakHyphen/>
      </w:r>
      <w:r w:rsidR="000969EC">
        <w:t>2</w:t>
      </w:r>
      <w:r w:rsidR="00332FF3" w:rsidRPr="00C25F3B">
        <w:fldChar w:fldCharType="end"/>
      </w:r>
      <w:r w:rsidR="00332FF3" w:rsidRPr="00C25F3B">
        <w:t>.</w:t>
      </w:r>
    </w:p>
    <w:p w14:paraId="2D33157F" w14:textId="77777777" w:rsidR="00332FF3" w:rsidRDefault="00332FF3" w:rsidP="00C818EF">
      <w:pPr>
        <w:pStyle w:val="List"/>
        <w:numPr>
          <w:ilvl w:val="0"/>
          <w:numId w:val="8"/>
        </w:numPr>
        <w:tabs>
          <w:tab w:val="clear" w:pos="360"/>
          <w:tab w:val="num" w:pos="720"/>
        </w:tabs>
        <w:ind w:left="720"/>
        <w:pPrChange w:id="125" w:author="Birrane, Edward J." w:date="2020-05-01T17:51:00Z">
          <w:pPr>
            <w:pStyle w:val="List"/>
            <w:numPr>
              <w:numId w:val="13"/>
            </w:numPr>
            <w:tabs>
              <w:tab w:val="num" w:pos="432"/>
              <w:tab w:val="num" w:pos="720"/>
            </w:tabs>
            <w:ind w:firstLine="0"/>
          </w:pPr>
        </w:pPrChange>
      </w:pPr>
      <w:proofErr w:type="gramStart"/>
      <w:r w:rsidRPr="001B79CE">
        <w:t>bits</w:t>
      </w:r>
      <w:proofErr w:type="gramEnd"/>
      <w:r w:rsidRPr="001B79CE">
        <w:t xml:space="preserve"> 7</w:t>
      </w:r>
      <w:r>
        <w:t>–</w:t>
      </w:r>
      <w:r w:rsidRPr="001B79CE">
        <w:t>1 are reserved for future use.</w:t>
      </w:r>
    </w:p>
    <w:p w14:paraId="655C1C3B" w14:textId="5A238847" w:rsidR="007347A0" w:rsidRDefault="00332FF3" w:rsidP="00C818EF">
      <w:pPr>
        <w:pStyle w:val="List"/>
        <w:numPr>
          <w:ilvl w:val="0"/>
          <w:numId w:val="8"/>
        </w:numPr>
        <w:tabs>
          <w:tab w:val="clear" w:pos="360"/>
          <w:tab w:val="num" w:pos="720"/>
        </w:tabs>
        <w:ind w:left="720"/>
        <w:pPrChange w:id="126" w:author="Birrane, Edward J." w:date="2020-05-01T17:51:00Z">
          <w:pPr>
            <w:pStyle w:val="List"/>
            <w:numPr>
              <w:numId w:val="13"/>
            </w:numPr>
            <w:tabs>
              <w:tab w:val="num" w:pos="432"/>
              <w:tab w:val="num" w:pos="720"/>
            </w:tabs>
            <w:ind w:firstLine="0"/>
          </w:pPr>
        </w:pPrChange>
      </w:pPr>
      <w:proofErr w:type="gramStart"/>
      <w:r w:rsidRPr="001B79CE">
        <w:t>bit</w:t>
      </w:r>
      <w:proofErr w:type="gramEnd"/>
      <w:r w:rsidRPr="001B79CE">
        <w:t xml:space="preserve"> 0</w:t>
      </w:r>
      <w:r>
        <w:t>,</w:t>
      </w:r>
      <w:r w:rsidRPr="001B79CE">
        <w:t xml:space="preserve"> </w:t>
      </w:r>
      <w:proofErr w:type="spellStart"/>
      <w:r w:rsidRPr="001B79CE">
        <w:t>param</w:t>
      </w:r>
      <w:proofErr w:type="spellEnd"/>
      <w:r>
        <w:t>,</w:t>
      </w:r>
      <w:r w:rsidRPr="001B79CE">
        <w:t xml:space="preserve"> indicates whether or not the </w:t>
      </w:r>
      <w:r w:rsidR="004C07C1">
        <w:t>Security Context</w:t>
      </w:r>
      <w:r w:rsidRPr="001B79CE">
        <w:t xml:space="preserve"> Parameters Length and </w:t>
      </w:r>
      <w:r w:rsidR="004C07C1">
        <w:t>Security Context</w:t>
      </w:r>
      <w:r w:rsidRPr="001B79CE">
        <w:t xml:space="preserve"> Parameters Data fields are present.</w:t>
      </w:r>
    </w:p>
    <w:p w14:paraId="0E6AD776" w14:textId="77777777" w:rsidR="004979C5" w:rsidRDefault="004979C5" w:rsidP="00465D15">
      <w:pPr>
        <w:pStyle w:val="List"/>
        <w:ind w:firstLine="0"/>
      </w:pPr>
    </w:p>
    <w:p w14:paraId="0BDE4FA1" w14:textId="77777777" w:rsidR="00332FF3" w:rsidRPr="001B79CE" w:rsidRDefault="002972A4" w:rsidP="00332FF3">
      <w:r w:rsidRPr="00A14B5B">
        <w:rPr>
          <w:noProof/>
        </w:rPr>
        <w:drawing>
          <wp:inline distT="0" distB="0" distL="0" distR="0" wp14:anchorId="6357CECD" wp14:editId="3AA57F17">
            <wp:extent cx="5715000" cy="82677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826770"/>
                    </a:xfrm>
                    <a:prstGeom prst="rect">
                      <a:avLst/>
                    </a:prstGeom>
                    <a:noFill/>
                    <a:ln>
                      <a:noFill/>
                    </a:ln>
                  </pic:spPr>
                </pic:pic>
              </a:graphicData>
            </a:graphic>
          </wp:inline>
        </w:drawing>
      </w:r>
    </w:p>
    <w:p w14:paraId="6AA19952" w14:textId="06A182FF" w:rsidR="00332FF3" w:rsidRPr="001A5DFA" w:rsidRDefault="00332FF3" w:rsidP="00332FF3">
      <w:pPr>
        <w:pStyle w:val="FigureTitle"/>
        <w:rPr>
          <w:b w:val="0"/>
        </w:rPr>
      </w:pPr>
      <w:bookmarkStart w:id="127" w:name="_Toc39247070"/>
      <w:r w:rsidRPr="001A5DFA">
        <w:rPr>
          <w:b w:val="0"/>
        </w:rPr>
        <w:t xml:space="preserve">Figure </w:t>
      </w:r>
      <w:bookmarkStart w:id="128" w:name="F_302CipherSuiteFlags"/>
      <w:r w:rsidR="005B6218" w:rsidRPr="001A5DFA">
        <w:rPr>
          <w:b w:val="0"/>
        </w:rPr>
        <w:fldChar w:fldCharType="begin"/>
      </w:r>
      <w:r w:rsidR="005B6218" w:rsidRPr="001A5DFA">
        <w:rPr>
          <w:b w:val="0"/>
        </w:rPr>
        <w:instrText xml:space="preserve"> STYLEREF 1 \s </w:instrText>
      </w:r>
      <w:r w:rsidR="005B6218" w:rsidRPr="001A5DFA">
        <w:rPr>
          <w:b w:val="0"/>
        </w:rPr>
        <w:fldChar w:fldCharType="separate"/>
      </w:r>
      <w:r w:rsidR="005B6218" w:rsidRPr="001A5DFA">
        <w:rPr>
          <w:b w:val="0"/>
          <w:noProof/>
        </w:rPr>
        <w:t>4</w:t>
      </w:r>
      <w:r w:rsidR="005B6218" w:rsidRPr="001A5DFA">
        <w:rPr>
          <w:b w:val="0"/>
        </w:rPr>
        <w:fldChar w:fldCharType="end"/>
      </w:r>
      <w:r w:rsidR="005B6218" w:rsidRPr="001A5DFA">
        <w:rPr>
          <w:b w:val="0"/>
        </w:rPr>
        <w:noBreakHyphen/>
      </w:r>
      <w:r w:rsidR="00326C41" w:rsidRPr="001A5DFA">
        <w:rPr>
          <w:b w:val="0"/>
        </w:rPr>
        <w:fldChar w:fldCharType="begin"/>
      </w:r>
      <w:r w:rsidR="00326C41" w:rsidRPr="001A5DFA">
        <w:rPr>
          <w:b w:val="0"/>
        </w:rPr>
        <w:instrText xml:space="preserve"> SEQ Figure \* ARABIC \s 1 </w:instrText>
      </w:r>
      <w:r w:rsidR="00326C41" w:rsidRPr="001A5DFA">
        <w:rPr>
          <w:b w:val="0"/>
        </w:rPr>
        <w:fldChar w:fldCharType="separate"/>
      </w:r>
      <w:r w:rsidR="005B6218" w:rsidRPr="001A5DFA">
        <w:rPr>
          <w:b w:val="0"/>
          <w:noProof/>
        </w:rPr>
        <w:t>2</w:t>
      </w:r>
      <w:r w:rsidR="00326C41" w:rsidRPr="001A5DFA">
        <w:rPr>
          <w:b w:val="0"/>
          <w:noProof/>
        </w:rPr>
        <w:fldChar w:fldCharType="end"/>
      </w:r>
      <w:bookmarkEnd w:id="128"/>
      <w:r w:rsidRPr="001A5DFA">
        <w:rPr>
          <w:b w:val="0"/>
        </w:rPr>
        <w:fldChar w:fldCharType="begin"/>
      </w:r>
      <w:r w:rsidRPr="001A5DFA">
        <w:rPr>
          <w:b w:val="0"/>
        </w:rPr>
        <w:instrText xml:space="preserve"> TC \f G "</w:instrText>
      </w:r>
      <w:r w:rsidR="00326C41" w:rsidRPr="001A5DFA">
        <w:rPr>
          <w:b w:val="0"/>
        </w:rPr>
        <w:fldChar w:fldCharType="begin"/>
      </w:r>
      <w:r w:rsidR="00326C41" w:rsidRPr="001A5DFA">
        <w:rPr>
          <w:b w:val="0"/>
        </w:rPr>
        <w:instrText xml:space="preserve"> STYLEREF "Heading 1"\l \n \t \* MERGEFORMAT </w:instrText>
      </w:r>
      <w:r w:rsidR="00326C41" w:rsidRPr="001A5DFA">
        <w:rPr>
          <w:b w:val="0"/>
        </w:rPr>
        <w:fldChar w:fldCharType="separate"/>
      </w:r>
      <w:bookmarkStart w:id="129" w:name="_Toc39189131"/>
      <w:r w:rsidR="000969EC" w:rsidRPr="001A5DFA">
        <w:rPr>
          <w:b w:val="0"/>
          <w:noProof/>
        </w:rPr>
        <w:instrText>4</w:instrText>
      </w:r>
      <w:r w:rsidR="00326C41" w:rsidRPr="001A5DFA">
        <w:rPr>
          <w:b w:val="0"/>
          <w:noProof/>
        </w:rPr>
        <w:fldChar w:fldCharType="end"/>
      </w:r>
      <w:r w:rsidRPr="001A5DFA">
        <w:rPr>
          <w:b w:val="0"/>
        </w:rPr>
        <w:instrText>-</w:instrText>
      </w:r>
      <w:r w:rsidR="00326C41" w:rsidRPr="001A5DFA">
        <w:rPr>
          <w:b w:val="0"/>
        </w:rPr>
        <w:fldChar w:fldCharType="begin"/>
      </w:r>
      <w:r w:rsidR="00326C41" w:rsidRPr="001A5DFA">
        <w:rPr>
          <w:b w:val="0"/>
        </w:rPr>
        <w:instrText xml:space="preserve"> SEQ Figure_TOC \s 1 \* MERGEFORMAT </w:instrText>
      </w:r>
      <w:r w:rsidR="00326C41" w:rsidRPr="001A5DFA">
        <w:rPr>
          <w:b w:val="0"/>
        </w:rPr>
        <w:fldChar w:fldCharType="separate"/>
      </w:r>
      <w:r w:rsidR="000969EC" w:rsidRPr="001A5DFA">
        <w:rPr>
          <w:b w:val="0"/>
          <w:noProof/>
        </w:rPr>
        <w:instrText>2</w:instrText>
      </w:r>
      <w:r w:rsidR="00326C41" w:rsidRPr="001A5DFA">
        <w:rPr>
          <w:b w:val="0"/>
          <w:noProof/>
        </w:rPr>
        <w:fldChar w:fldCharType="end"/>
      </w:r>
      <w:r w:rsidRPr="001A5DFA">
        <w:rPr>
          <w:b w:val="0"/>
        </w:rPr>
        <w:tab/>
        <w:instrText>Cipher Suite Flags</w:instrText>
      </w:r>
      <w:bookmarkEnd w:id="129"/>
      <w:r w:rsidRPr="001A5DFA">
        <w:rPr>
          <w:b w:val="0"/>
        </w:rPr>
        <w:instrText>"</w:instrText>
      </w:r>
      <w:r w:rsidRPr="001A5DFA">
        <w:rPr>
          <w:b w:val="0"/>
        </w:rPr>
        <w:fldChar w:fldCharType="end"/>
      </w:r>
      <w:r w:rsidRPr="001A5DFA">
        <w:rPr>
          <w:b w:val="0"/>
        </w:rPr>
        <w:t xml:space="preserve">:  </w:t>
      </w:r>
      <w:r w:rsidR="002444D7" w:rsidRPr="001A5DFA">
        <w:rPr>
          <w:b w:val="0"/>
        </w:rPr>
        <w:t>Security Block</w:t>
      </w:r>
      <w:r w:rsidRPr="001A5DFA">
        <w:rPr>
          <w:b w:val="0"/>
        </w:rPr>
        <w:t xml:space="preserve"> Flags</w:t>
      </w:r>
      <w:bookmarkEnd w:id="127"/>
    </w:p>
    <w:p w14:paraId="5483C3B7" w14:textId="78A57A45" w:rsidR="00332FF3" w:rsidRDefault="00332FF3" w:rsidP="006E5A65">
      <w:pPr>
        <w:pStyle w:val="Paragraph5"/>
      </w:pPr>
      <w:r w:rsidRPr="001B79CE" w:rsidDel="005F4477">
        <w:t xml:space="preserve"> </w:t>
      </w:r>
      <w:bookmarkStart w:id="130" w:name="_Ref493083963"/>
      <w:r w:rsidRPr="001B79CE">
        <w:t xml:space="preserve">(Optional) </w:t>
      </w:r>
      <w:r w:rsidR="00CC3E25">
        <w:t>Security Context</w:t>
      </w:r>
      <w:r w:rsidRPr="001B79CE">
        <w:t xml:space="preserve"> Parameters</w:t>
      </w:r>
      <w:r>
        <w:t>—</w:t>
      </w:r>
      <w:proofErr w:type="gramStart"/>
      <w:r w:rsidRPr="001B79CE">
        <w:t>If</w:t>
      </w:r>
      <w:proofErr w:type="gramEnd"/>
      <w:r w:rsidRPr="001B79CE">
        <w:t xml:space="preserve"> indicated by a value of 1 in the </w:t>
      </w:r>
      <w:proofErr w:type="spellStart"/>
      <w:r w:rsidRPr="001B79CE">
        <w:t>param</w:t>
      </w:r>
      <w:proofErr w:type="spellEnd"/>
      <w:r w:rsidRPr="001B79CE">
        <w:t xml:space="preserve"> bit (bit 0) of the </w:t>
      </w:r>
      <w:r w:rsidR="002444D7">
        <w:t>Security Block</w:t>
      </w:r>
      <w:r w:rsidRPr="001B79CE">
        <w:t xml:space="preserve"> Flags, the following two fields shall be present.</w:t>
      </w:r>
      <w:bookmarkEnd w:id="130"/>
    </w:p>
    <w:p w14:paraId="5DF83705" w14:textId="50757C1C" w:rsidR="00332FF3" w:rsidRPr="001B79CE" w:rsidRDefault="007F0583" w:rsidP="006E5A65">
      <w:pPr>
        <w:pStyle w:val="Paragraph6"/>
      </w:pPr>
      <w:r>
        <w:t>Security Context</w:t>
      </w:r>
      <w:r w:rsidR="00332FF3" w:rsidRPr="001B79CE">
        <w:t xml:space="preserve"> Parameters Length (SDNV)</w:t>
      </w:r>
      <w:r w:rsidR="00332FF3">
        <w:t>—</w:t>
      </w:r>
      <w:proofErr w:type="gramStart"/>
      <w:r w:rsidR="00332FF3">
        <w:t>T</w:t>
      </w:r>
      <w:r w:rsidR="00332FF3" w:rsidRPr="001B79CE">
        <w:t>he</w:t>
      </w:r>
      <w:proofErr w:type="gramEnd"/>
      <w:r w:rsidR="00332FF3" w:rsidRPr="001B79CE">
        <w:t xml:space="preserve"> length of the next field, which is the </w:t>
      </w:r>
      <w:r>
        <w:t>security context</w:t>
      </w:r>
      <w:r w:rsidR="00332FF3" w:rsidRPr="001B79CE">
        <w:t xml:space="preserve"> parameters data field.</w:t>
      </w:r>
    </w:p>
    <w:p w14:paraId="1663981B" w14:textId="686E931E" w:rsidR="00332FF3" w:rsidRPr="001B79CE" w:rsidRDefault="007F0583" w:rsidP="006E5A65">
      <w:pPr>
        <w:pStyle w:val="Paragraph6"/>
      </w:pPr>
      <w:r>
        <w:t>Security Context</w:t>
      </w:r>
      <w:r w:rsidR="00332FF3" w:rsidRPr="001B79CE">
        <w:t xml:space="preserve"> Parameters Data (Compound)</w:t>
      </w:r>
      <w:r w:rsidR="00332FF3">
        <w:t>—P</w:t>
      </w:r>
      <w:r w:rsidR="00332FF3" w:rsidRPr="001B79CE">
        <w:t xml:space="preserve">arameters to be used with the </w:t>
      </w:r>
      <w:r>
        <w:t>security context</w:t>
      </w:r>
      <w:r w:rsidR="00332FF3" w:rsidRPr="001B79CE">
        <w:t xml:space="preserve"> in use, e.g., a key identifier or initialization vector (IV).</w:t>
      </w:r>
    </w:p>
    <w:p w14:paraId="05CEFCC2" w14:textId="535C560E" w:rsidR="00332FF3" w:rsidRDefault="00332FF3" w:rsidP="00332FF3">
      <w:pPr>
        <w:pStyle w:val="Notelevel1"/>
      </w:pPr>
      <w:r>
        <w:t>NOTE</w:t>
      </w:r>
      <w:r>
        <w:tab/>
        <w:t>–</w:t>
      </w:r>
      <w:r>
        <w:tab/>
      </w:r>
      <w:r w:rsidRPr="001B79CE">
        <w:t>S</w:t>
      </w:r>
      <w:r>
        <w:t>ubs</w:t>
      </w:r>
      <w:r w:rsidRPr="001B79CE">
        <w:t xml:space="preserve">ection </w:t>
      </w:r>
      <w:r w:rsidR="00383181">
        <w:fldChar w:fldCharType="begin"/>
      </w:r>
      <w:r w:rsidR="00383181">
        <w:instrText xml:space="preserve"> REF _Ref38553717 \n \h </w:instrText>
      </w:r>
      <w:r w:rsidR="00383181">
        <w:fldChar w:fldCharType="separate"/>
      </w:r>
      <w:r w:rsidR="00383181">
        <w:t>4.1.7</w:t>
      </w:r>
      <w:r w:rsidR="00383181">
        <w:fldChar w:fldCharType="end"/>
      </w:r>
      <w:r w:rsidR="00383181">
        <w:t xml:space="preserve"> </w:t>
      </w:r>
      <w:r>
        <w:t xml:space="preserve">provides </w:t>
      </w:r>
      <w:r w:rsidRPr="001B79CE">
        <w:t xml:space="preserve">a list of </w:t>
      </w:r>
      <w:r w:rsidR="0005017F">
        <w:t>security context</w:t>
      </w:r>
      <w:r w:rsidR="00243B4E">
        <w:t xml:space="preserve"> </w:t>
      </w:r>
      <w:r w:rsidRPr="001B79CE">
        <w:t>parameters and their types. The particular set of parameters that is included in this field</w:t>
      </w:r>
      <w:r w:rsidR="00AB6C66">
        <w:t>,</w:t>
      </w:r>
      <w:r w:rsidRPr="001B79CE">
        <w:t xml:space="preserve"> and the encoding of those parameters</w:t>
      </w:r>
      <w:r w:rsidR="00AB6C66">
        <w:t>,</w:t>
      </w:r>
      <w:r w:rsidRPr="001B79CE">
        <w:t xml:space="preserve"> are defined as part of a </w:t>
      </w:r>
      <w:r w:rsidR="0005017F">
        <w:t>security context</w:t>
      </w:r>
      <w:r w:rsidRPr="001B79CE">
        <w:t xml:space="preserve"> specification.</w:t>
      </w:r>
    </w:p>
    <w:p w14:paraId="53576CD0" w14:textId="38E90612" w:rsidR="00FD2995" w:rsidRDefault="00FD2995" w:rsidP="00465D15"/>
    <w:p w14:paraId="5E9AA147" w14:textId="1A2AC9A4" w:rsidR="00FD2995" w:rsidRPr="00F4320B" w:rsidRDefault="00FD2995" w:rsidP="00465D15">
      <w:pPr>
        <w:tabs>
          <w:tab w:val="left" w:pos="810"/>
        </w:tabs>
        <w:ind w:left="1080" w:hanging="1080"/>
      </w:pPr>
      <w:r>
        <w:t>NOTE</w:t>
      </w:r>
      <w:r>
        <w:tab/>
        <w:t xml:space="preserve">–  </w:t>
      </w:r>
      <w:r w:rsidR="007721D1">
        <w:t xml:space="preserve"> </w:t>
      </w:r>
      <w:r>
        <w:t xml:space="preserve">Examples of </w:t>
      </w:r>
      <w:r w:rsidR="00236199">
        <w:t>security context</w:t>
      </w:r>
      <w:r>
        <w:t xml:space="preserve"> parameters include key identifiers, initialization vectors (IVs), </w:t>
      </w:r>
      <w:r w:rsidR="00823D1C">
        <w:t>and salt values</w:t>
      </w:r>
      <w:r>
        <w:t>.</w:t>
      </w:r>
    </w:p>
    <w:p w14:paraId="70C353BF" w14:textId="185E344D" w:rsidR="00332FF3" w:rsidRPr="001B79CE" w:rsidRDefault="00332FF3" w:rsidP="006E5A65">
      <w:pPr>
        <w:pStyle w:val="Paragraph6"/>
      </w:pPr>
      <w:r w:rsidRPr="001B79CE">
        <w:t>Security Result Length (SDNV)</w:t>
      </w:r>
      <w:r>
        <w:t>—</w:t>
      </w:r>
      <w:proofErr w:type="gramStart"/>
      <w:r>
        <w:t>T</w:t>
      </w:r>
      <w:r w:rsidRPr="001B79CE">
        <w:t>he</w:t>
      </w:r>
      <w:proofErr w:type="gramEnd"/>
      <w:r w:rsidRPr="001B79CE">
        <w:t xml:space="preserve"> length of the security result data field.</w:t>
      </w:r>
    </w:p>
    <w:p w14:paraId="1070CC36" w14:textId="0B8F4095" w:rsidR="00332FF3" w:rsidRDefault="00332FF3" w:rsidP="006E5A65">
      <w:pPr>
        <w:pStyle w:val="Paragraph6"/>
      </w:pPr>
      <w:r w:rsidRPr="001B79CE">
        <w:t>Security Result Data (Compound)</w:t>
      </w:r>
      <w:r>
        <w:t>—</w:t>
      </w:r>
      <w:proofErr w:type="gramStart"/>
      <w:r>
        <w:t>T</w:t>
      </w:r>
      <w:r w:rsidRPr="001B79CE">
        <w:t>he</w:t>
      </w:r>
      <w:proofErr w:type="gramEnd"/>
      <w:r w:rsidRPr="001B79CE">
        <w:t xml:space="preserve"> results of the appropriate </w:t>
      </w:r>
      <w:r w:rsidR="00070CE2">
        <w:t xml:space="preserve">security context </w:t>
      </w:r>
      <w:r w:rsidRPr="001B79CE">
        <w:t>specific calculation.</w:t>
      </w:r>
    </w:p>
    <w:p w14:paraId="57758BF0" w14:textId="77777777" w:rsidR="00A57C3A" w:rsidRDefault="00A57C3A" w:rsidP="00A57C3A">
      <w:pPr>
        <w:tabs>
          <w:tab w:val="left" w:pos="810"/>
        </w:tabs>
        <w:ind w:left="1080" w:hanging="1080"/>
      </w:pPr>
    </w:p>
    <w:p w14:paraId="4226F9E7" w14:textId="4E86CF6B" w:rsidR="00A57C3A" w:rsidRPr="008E2AB7" w:rsidRDefault="00A57C3A" w:rsidP="00A57C3A">
      <w:pPr>
        <w:tabs>
          <w:tab w:val="left" w:pos="810"/>
        </w:tabs>
        <w:ind w:left="1080" w:hanging="1080"/>
      </w:pPr>
      <w:r>
        <w:t>NOTE</w:t>
      </w:r>
      <w:r>
        <w:tab/>
        <w:t>–   Examples of security results data include</w:t>
      </w:r>
      <w:r w:rsidRPr="001B79CE">
        <w:t xml:space="preserve"> signature</w:t>
      </w:r>
      <w:r>
        <w:t>s</w:t>
      </w:r>
      <w:r w:rsidRPr="001B79CE">
        <w:t>, Message Authentication Code</w:t>
      </w:r>
      <w:r>
        <w:t>s</w:t>
      </w:r>
      <w:r w:rsidRPr="001B79CE">
        <w:t xml:space="preserve"> </w:t>
      </w:r>
      <w:r>
        <w:t>[</w:t>
      </w:r>
      <w:r w:rsidRPr="001B79CE">
        <w:t>MAC</w:t>
      </w:r>
      <w:r>
        <w:t>s]</w:t>
      </w:r>
      <w:r w:rsidRPr="001B79CE">
        <w:t xml:space="preserve">, </w:t>
      </w:r>
      <w:r>
        <w:t xml:space="preserve">or </w:t>
      </w:r>
      <w:r w:rsidRPr="001B79CE">
        <w:t>integrity check valu</w:t>
      </w:r>
      <w:r>
        <w:t>es.</w:t>
      </w:r>
    </w:p>
    <w:p w14:paraId="5256F6FA" w14:textId="77777777" w:rsidR="00332FF3" w:rsidRPr="001B79CE" w:rsidRDefault="00332FF3" w:rsidP="006E5A65">
      <w:pPr>
        <w:pStyle w:val="Paragraph4"/>
      </w:pPr>
      <w:bookmarkStart w:id="131" w:name="_Ref491942122"/>
      <w:r w:rsidRPr="001B79CE">
        <w:t>The format of a compound field is defined as follows.</w:t>
      </w:r>
      <w:bookmarkEnd w:id="131"/>
    </w:p>
    <w:p w14:paraId="59E46789" w14:textId="4D8638B2" w:rsidR="00332FF3" w:rsidRPr="001B79CE" w:rsidRDefault="00332FF3" w:rsidP="006E5A65">
      <w:pPr>
        <w:pStyle w:val="Paragraph5"/>
      </w:pPr>
      <w:r w:rsidRPr="001B79CE">
        <w:t>Each item in any compound field shall be represented as a type-length-value tuple.</w:t>
      </w:r>
    </w:p>
    <w:p w14:paraId="2A64EA22" w14:textId="3139E4E9" w:rsidR="00332FF3" w:rsidRPr="001B79CE" w:rsidRDefault="00332FF3" w:rsidP="006E5A65">
      <w:pPr>
        <w:pStyle w:val="Paragraph5"/>
      </w:pPr>
      <w:r w:rsidRPr="001B79CE">
        <w:t>Type shall be a single byte indicating the item</w:t>
      </w:r>
      <w:r w:rsidR="009862F4">
        <w:t xml:space="preserve"> being specified as defined in </w:t>
      </w:r>
      <w:r w:rsidR="007B5C49">
        <w:t>a</w:t>
      </w:r>
      <w:r w:rsidR="009862F4">
        <w:t xml:space="preserve"> security context specification.</w:t>
      </w:r>
    </w:p>
    <w:p w14:paraId="7C76DB63" w14:textId="150F9185" w:rsidR="00332FF3" w:rsidRPr="001B79CE" w:rsidRDefault="00332FF3" w:rsidP="006E5A65">
      <w:pPr>
        <w:pStyle w:val="Paragraph5"/>
      </w:pPr>
      <w:r w:rsidRPr="001B79CE">
        <w:lastRenderedPageBreak/>
        <w:t>Length shall be the count of data content bytes to follow, represented as an SDNV-</w:t>
      </w:r>
      <w:r w:rsidR="00E87D4F">
        <w:t>codified</w:t>
      </w:r>
      <w:r w:rsidR="00E87D4F" w:rsidRPr="001B79CE">
        <w:t xml:space="preserve"> </w:t>
      </w:r>
      <w:r w:rsidRPr="001B79CE">
        <w:t>integer.</w:t>
      </w:r>
    </w:p>
    <w:p w14:paraId="76CB5847" w14:textId="03965A68" w:rsidR="00332FF3" w:rsidRDefault="00332FF3" w:rsidP="006E5A65">
      <w:pPr>
        <w:pStyle w:val="Paragraph5"/>
      </w:pPr>
      <w:r w:rsidRPr="001B79CE">
        <w:t xml:space="preserve">Value shall be the data content of the </w:t>
      </w:r>
      <w:r w:rsidR="002C52BD">
        <w:t>item, whose encoding is a function of the item type.</w:t>
      </w:r>
    </w:p>
    <w:p w14:paraId="72068A9C" w14:textId="77777777" w:rsidR="00332FF3" w:rsidRPr="001B79CE" w:rsidRDefault="00332FF3" w:rsidP="00465D15">
      <w:pPr>
        <w:pStyle w:val="Heading3"/>
      </w:pPr>
      <w:bookmarkStart w:id="132" w:name="_Toc350520807"/>
      <w:bookmarkStart w:id="133" w:name="_Ref493083902"/>
      <w:r w:rsidRPr="001B79CE">
        <w:t>Block Integrity Block</w:t>
      </w:r>
      <w:bookmarkEnd w:id="132"/>
      <w:bookmarkEnd w:id="133"/>
    </w:p>
    <w:p w14:paraId="00007564" w14:textId="5C3FE1EE" w:rsidR="00332FF3" w:rsidRDefault="00332FF3" w:rsidP="006E5A65">
      <w:pPr>
        <w:pStyle w:val="Paragraph4"/>
      </w:pPr>
      <w:r w:rsidRPr="001B79CE">
        <w:t>The block-type code value for B</w:t>
      </w:r>
      <w:r w:rsidR="00244C5B">
        <w:t>lock</w:t>
      </w:r>
      <w:r w:rsidRPr="001B79CE">
        <w:t xml:space="preserve"> Integrity Blocks must </w:t>
      </w:r>
      <w:r w:rsidRPr="00394053">
        <w:t xml:space="preserve">be </w:t>
      </w:r>
      <w:r w:rsidR="0038329F" w:rsidRPr="00394053">
        <w:t xml:space="preserve">as specified in </w:t>
      </w:r>
      <w:r w:rsidR="0038329F" w:rsidRPr="00394053">
        <w:fldChar w:fldCharType="begin"/>
      </w:r>
      <w:r w:rsidR="0038329F" w:rsidRPr="00394053">
        <w:instrText xml:space="preserve"> REF _Ref39247442 \h </w:instrText>
      </w:r>
      <w:r w:rsidR="0038329F" w:rsidRPr="00394053">
        <w:fldChar w:fldCharType="separate"/>
      </w:r>
      <w:r w:rsidR="0038329F" w:rsidRPr="00394053">
        <w:rPr>
          <w:szCs w:val="24"/>
        </w:rPr>
        <w:t xml:space="preserve">Table </w:t>
      </w:r>
      <w:r w:rsidR="0038329F" w:rsidRPr="00394053">
        <w:rPr>
          <w:i/>
          <w:noProof/>
          <w:szCs w:val="24"/>
        </w:rPr>
        <w:t>B</w:t>
      </w:r>
      <w:r w:rsidR="0038329F" w:rsidRPr="00394053">
        <w:rPr>
          <w:i/>
          <w:szCs w:val="24"/>
        </w:rPr>
        <w:noBreakHyphen/>
      </w:r>
      <w:r w:rsidR="0038329F" w:rsidRPr="00394053">
        <w:rPr>
          <w:i/>
          <w:noProof/>
          <w:szCs w:val="24"/>
        </w:rPr>
        <w:t>1</w:t>
      </w:r>
      <w:r w:rsidR="0038329F" w:rsidRPr="00394053">
        <w:fldChar w:fldCharType="end"/>
      </w:r>
      <w:r w:rsidRPr="001B79CE">
        <w:t>.</w:t>
      </w:r>
    </w:p>
    <w:p w14:paraId="2CA43467" w14:textId="381FDDFE" w:rsidR="00332FF3" w:rsidRPr="001B79CE" w:rsidRDefault="00332FF3" w:rsidP="006E5A65">
      <w:pPr>
        <w:pStyle w:val="Paragraph4"/>
      </w:pPr>
      <w:r w:rsidRPr="001B79CE">
        <w:t xml:space="preserve">The block processing control flags value can be set to </w:t>
      </w:r>
      <w:r w:rsidR="005C188D">
        <w:t>the</w:t>
      </w:r>
      <w:r w:rsidR="005C188D" w:rsidRPr="001B79CE">
        <w:t xml:space="preserve"> </w:t>
      </w:r>
      <w:r w:rsidRPr="001B79CE">
        <w:t>values required by local policy.</w:t>
      </w:r>
    </w:p>
    <w:p w14:paraId="37ACDD28" w14:textId="139A2246" w:rsidR="00332FF3" w:rsidRPr="001B79CE" w:rsidRDefault="00D15E2E" w:rsidP="006E5A65">
      <w:pPr>
        <w:pStyle w:val="Paragraph4"/>
      </w:pPr>
      <w:r>
        <w:t>The target</w:t>
      </w:r>
      <w:r w:rsidR="005B69FD">
        <w:t xml:space="preserve"> block</w:t>
      </w:r>
      <w:r>
        <w:t xml:space="preserve"> for a BIB may </w:t>
      </w:r>
      <w:r w:rsidR="00E320C6">
        <w:t xml:space="preserve">only </w:t>
      </w:r>
      <w:r w:rsidR="002A6B83">
        <w:t>have as its target block</w:t>
      </w:r>
      <w:r>
        <w:t xml:space="preserve"> the primary block, payload block, or a non-security </w:t>
      </w:r>
      <w:r w:rsidR="00797721">
        <w:t xml:space="preserve">extension </w:t>
      </w:r>
      <w:r>
        <w:t>block.</w:t>
      </w:r>
    </w:p>
    <w:p w14:paraId="1E318D29" w14:textId="2291795B" w:rsidR="00332FF3" w:rsidRPr="001B79CE" w:rsidRDefault="00332FF3" w:rsidP="006E5A65">
      <w:pPr>
        <w:pStyle w:val="Paragraph4"/>
      </w:pPr>
      <w:r w:rsidRPr="001B79CE">
        <w:t xml:space="preserve">The security result must contain the result of applying the </w:t>
      </w:r>
      <w:r w:rsidR="00491119">
        <w:t>security context</w:t>
      </w:r>
      <w:r w:rsidRPr="001B79CE">
        <w:t xml:space="preserve"> calculation (e.g., the MAC or signature) to the relevant parts of the target</w:t>
      </w:r>
      <w:r w:rsidR="0011087D">
        <w:t xml:space="preserve"> block</w:t>
      </w:r>
      <w:r w:rsidRPr="001B79CE">
        <w:t>.</w:t>
      </w:r>
    </w:p>
    <w:p w14:paraId="6E0132C9" w14:textId="2307F604" w:rsidR="00332FF3" w:rsidRDefault="00332FF3" w:rsidP="006E5A65">
      <w:pPr>
        <w:pStyle w:val="Paragraph4"/>
      </w:pPr>
      <w:r w:rsidRPr="001B79CE">
        <w:t xml:space="preserve">If the </w:t>
      </w:r>
      <w:r w:rsidR="00317618">
        <w:t>security context</w:t>
      </w:r>
      <w:r w:rsidRPr="001B79CE">
        <w:t xml:space="preserve"> does not protect the entire, original target</w:t>
      </w:r>
      <w:r w:rsidR="00C33D86">
        <w:t xml:space="preserve"> block</w:t>
      </w:r>
      <w:r w:rsidR="00B82B31">
        <w:t>’s block-type-specific data</w:t>
      </w:r>
      <w:r w:rsidRPr="001B79CE">
        <w:t xml:space="preserve">, the </w:t>
      </w:r>
      <w:r w:rsidR="008F1C71">
        <w:t>security context</w:t>
      </w:r>
      <w:r w:rsidRPr="001B79CE">
        <w:t xml:space="preserve"> parameters must specify which bytes of the target</w:t>
      </w:r>
      <w:r w:rsidR="00C33D86">
        <w:t xml:space="preserve"> block</w:t>
      </w:r>
      <w:r w:rsidRPr="001B79CE">
        <w:t xml:space="preserve"> are protected.</w:t>
      </w:r>
    </w:p>
    <w:p w14:paraId="0CDB1DF9" w14:textId="77777777" w:rsidR="00332FF3" w:rsidRPr="001B79CE" w:rsidRDefault="00332FF3" w:rsidP="00465D15">
      <w:pPr>
        <w:pStyle w:val="Heading3"/>
      </w:pPr>
      <w:bookmarkStart w:id="134" w:name="_Toc350520808"/>
      <w:bookmarkStart w:id="135" w:name="_Ref493083917"/>
      <w:r w:rsidRPr="001B79CE">
        <w:t>Block Confidentiality Block</w:t>
      </w:r>
      <w:bookmarkEnd w:id="134"/>
      <w:bookmarkEnd w:id="135"/>
    </w:p>
    <w:p w14:paraId="4D198331" w14:textId="19CB6186" w:rsidR="00332FF3" w:rsidRPr="000969EC" w:rsidRDefault="00332FF3" w:rsidP="00394053">
      <w:pPr>
        <w:pStyle w:val="Paragraph4"/>
      </w:pPr>
      <w:r w:rsidRPr="000969EC">
        <w:t xml:space="preserve">The block-type code value for Block Confidentiality Blocks must be </w:t>
      </w:r>
      <w:r w:rsidR="0038329F" w:rsidRPr="00E51114">
        <w:t xml:space="preserve">as specified in </w:t>
      </w:r>
      <w:r w:rsidR="0038329F" w:rsidRPr="00E51114">
        <w:fldChar w:fldCharType="begin"/>
      </w:r>
      <w:r w:rsidR="0038329F" w:rsidRPr="00E51114">
        <w:instrText xml:space="preserve"> REF _Ref39247442 \h </w:instrText>
      </w:r>
      <w:r w:rsidR="0038329F" w:rsidRPr="00E51114">
        <w:fldChar w:fldCharType="separate"/>
      </w:r>
      <w:r w:rsidR="0038329F" w:rsidRPr="00E51114">
        <w:rPr>
          <w:szCs w:val="24"/>
        </w:rPr>
        <w:t xml:space="preserve">Table </w:t>
      </w:r>
      <w:r w:rsidR="0038329F" w:rsidRPr="00E51114">
        <w:rPr>
          <w:i/>
          <w:noProof/>
          <w:szCs w:val="24"/>
        </w:rPr>
        <w:t>B</w:t>
      </w:r>
      <w:r w:rsidR="0038329F" w:rsidRPr="00E51114">
        <w:rPr>
          <w:i/>
          <w:szCs w:val="24"/>
        </w:rPr>
        <w:noBreakHyphen/>
      </w:r>
      <w:r w:rsidR="0038329F" w:rsidRPr="00E51114">
        <w:rPr>
          <w:i/>
          <w:noProof/>
          <w:szCs w:val="24"/>
        </w:rPr>
        <w:t>1</w:t>
      </w:r>
      <w:r w:rsidR="0038329F" w:rsidRPr="00E51114">
        <w:fldChar w:fldCharType="end"/>
      </w:r>
      <w:r w:rsidRPr="000969EC">
        <w:t>.</w:t>
      </w:r>
    </w:p>
    <w:p w14:paraId="66CACF4E" w14:textId="49A827D7" w:rsidR="00332FF3" w:rsidRPr="00ED7F45" w:rsidRDefault="00332FF3" w:rsidP="00DC2C02">
      <w:pPr>
        <w:pStyle w:val="Paragraph4"/>
      </w:pPr>
      <w:r w:rsidRPr="000969EC">
        <w:t>The Block Processi</w:t>
      </w:r>
      <w:r w:rsidRPr="00644A25">
        <w:t xml:space="preserve">ng Control flags value </w:t>
      </w:r>
      <w:r w:rsidR="006E6BE3">
        <w:t xml:space="preserve">of a BCB </w:t>
      </w:r>
      <w:r w:rsidRPr="00D1511D">
        <w:t>can be set to whatever values are required by local policy, except that this block must have the ‘</w:t>
      </w:r>
      <w:r w:rsidRPr="005458D6">
        <w:t xml:space="preserve">replicate in every fragment’ flag set if the target of the BCB </w:t>
      </w:r>
      <w:r w:rsidRPr="00776AF4">
        <w:t>is t</w:t>
      </w:r>
      <w:r w:rsidRPr="00ED7F45">
        <w:t xml:space="preserve">he </w:t>
      </w:r>
      <w:r w:rsidR="00E92FDB">
        <w:t>p</w:t>
      </w:r>
      <w:r w:rsidRPr="00ED7F45">
        <w:t xml:space="preserve">ayload </w:t>
      </w:r>
      <w:r w:rsidR="00E92FDB">
        <w:t>b</w:t>
      </w:r>
      <w:r w:rsidRPr="00ED7F45">
        <w:t>lock.</w:t>
      </w:r>
    </w:p>
    <w:p w14:paraId="1F6D20B8" w14:textId="50FCA70B" w:rsidR="00955E1B" w:rsidRDefault="00955E1B" w:rsidP="00465D15">
      <w:pPr>
        <w:pStyle w:val="Notelevel1"/>
        <w:keepNext/>
      </w:pPr>
      <w:r w:rsidRPr="001B79CE">
        <w:t>NOTE</w:t>
      </w:r>
      <w:r w:rsidR="00E0777D">
        <w:t xml:space="preserve"> </w:t>
      </w:r>
      <w:r w:rsidR="00E0777D">
        <w:tab/>
      </w:r>
      <w:proofErr w:type="gramStart"/>
      <w:r w:rsidR="00E0777D">
        <w:t>–  T</w:t>
      </w:r>
      <w:r w:rsidRPr="001B79CE">
        <w:t>he</w:t>
      </w:r>
      <w:proofErr w:type="gramEnd"/>
      <w:r w:rsidRPr="001B79CE">
        <w:t xml:space="preserve"> presence of a BCB in each fragment indicates to a receiving node that the payload portion of each fragment represents cipher</w:t>
      </w:r>
      <w:r>
        <w:t xml:space="preserve"> </w:t>
      </w:r>
      <w:r w:rsidRPr="001B79CE">
        <w:t>text</w:t>
      </w:r>
      <w:r>
        <w:t>.</w:t>
      </w:r>
    </w:p>
    <w:p w14:paraId="7E03F9E8" w14:textId="5C35AD6C" w:rsidR="00332FF3" w:rsidRPr="001B79CE" w:rsidRDefault="00AD66A9" w:rsidP="00DC2C02">
      <w:pPr>
        <w:pStyle w:val="Paragraph4"/>
      </w:pPr>
      <w:r>
        <w:t>A BCB target</w:t>
      </w:r>
      <w:r w:rsidR="00352BE8">
        <w:t xml:space="preserve"> block</w:t>
      </w:r>
      <w:r w:rsidR="00332FF3" w:rsidRPr="001B79CE">
        <w:t xml:space="preserve"> may </w:t>
      </w:r>
      <w:r w:rsidR="00D41871">
        <w:t xml:space="preserve">only </w:t>
      </w:r>
      <w:r w:rsidR="00CF77A6">
        <w:t xml:space="preserve">have as its target block </w:t>
      </w:r>
      <w:r w:rsidR="00332FF3" w:rsidRPr="001B79CE">
        <w:t>the payload block</w:t>
      </w:r>
      <w:r w:rsidR="00B82B31">
        <w:t xml:space="preserve"> or</w:t>
      </w:r>
      <w:r w:rsidR="00332FF3" w:rsidRPr="001B79CE">
        <w:t xml:space="preserve"> a non-security extension block</w:t>
      </w:r>
      <w:r w:rsidR="00B82B31">
        <w:t>.</w:t>
      </w:r>
    </w:p>
    <w:p w14:paraId="5D93A760" w14:textId="13C59DEF" w:rsidR="00451116" w:rsidRDefault="00EE135A" w:rsidP="00451116">
      <w:pPr>
        <w:pStyle w:val="Paragraph4"/>
      </w:pPr>
      <w:r>
        <w:t xml:space="preserve">The </w:t>
      </w:r>
      <w:r w:rsidR="00E92FDB">
        <w:t>security context</w:t>
      </w:r>
      <w:r>
        <w:t xml:space="preserve"> ID must be documented as a </w:t>
      </w:r>
      <w:r w:rsidR="00E92FDB">
        <w:t xml:space="preserve">context which includes a </w:t>
      </w:r>
      <w:r>
        <w:t>confidentiality cipher that provides authenticated encryption with associated data (AEAD).</w:t>
      </w:r>
    </w:p>
    <w:p w14:paraId="501322EC" w14:textId="40FE9E63" w:rsidR="00451116" w:rsidRDefault="00451116" w:rsidP="00465D15">
      <w:pPr>
        <w:pStyle w:val="Paragraph4"/>
      </w:pPr>
      <w:r>
        <w:t xml:space="preserve">Additional information created by a </w:t>
      </w:r>
      <w:r w:rsidR="00ED5B04">
        <w:t>security context</w:t>
      </w:r>
      <w:r>
        <w:t xml:space="preserve"> (such as an authentication tag) can be placed either in a security result field or in the generated cipher text.  The determination of where to place this information is a function of the security context used.</w:t>
      </w:r>
    </w:p>
    <w:p w14:paraId="3DEF4BD6" w14:textId="77777777" w:rsidR="00A461C6" w:rsidRPr="001B79CE" w:rsidRDefault="00A461C6" w:rsidP="00A461C6">
      <w:pPr>
        <w:pStyle w:val="Notelevel1"/>
        <w:keepNext/>
      </w:pPr>
      <w:r w:rsidRPr="001B79CE">
        <w:lastRenderedPageBreak/>
        <w:t>NOTES</w:t>
      </w:r>
    </w:p>
    <w:p w14:paraId="2484F3E5" w14:textId="3A2830EF" w:rsidR="00845A6E" w:rsidRDefault="00845A6E" w:rsidP="00C818EF">
      <w:pPr>
        <w:pStyle w:val="Noteslevel1"/>
        <w:numPr>
          <w:ilvl w:val="0"/>
          <w:numId w:val="25"/>
        </w:numPr>
        <w:pPrChange w:id="136" w:author="Birrane, Edward J." w:date="2020-05-01T17:51:00Z">
          <w:pPr>
            <w:pStyle w:val="Noteslevel1"/>
            <w:numPr>
              <w:numId w:val="84"/>
            </w:numPr>
            <w:tabs>
              <w:tab w:val="num" w:pos="360"/>
            </w:tabs>
          </w:pPr>
        </w:pPrChange>
      </w:pPr>
      <w:r>
        <w:t>A BCB must not alter the size of its target</w:t>
      </w:r>
      <w:r w:rsidR="00254A87">
        <w:t xml:space="preserve"> block</w:t>
      </w:r>
      <w:r>
        <w:t>’s block-type-specific data.</w:t>
      </w:r>
    </w:p>
    <w:p w14:paraId="203D1933" w14:textId="5FA1C15D" w:rsidR="00A461C6" w:rsidRDefault="00A461C6" w:rsidP="00C818EF">
      <w:pPr>
        <w:pStyle w:val="Noteslevel1"/>
        <w:numPr>
          <w:ilvl w:val="0"/>
          <w:numId w:val="25"/>
        </w:numPr>
        <w:pPrChange w:id="137" w:author="Birrane, Edward J." w:date="2020-05-01T17:51:00Z">
          <w:pPr>
            <w:pStyle w:val="Noteslevel1"/>
            <w:numPr>
              <w:numId w:val="84"/>
            </w:numPr>
            <w:tabs>
              <w:tab w:val="num" w:pos="360"/>
            </w:tabs>
          </w:pPr>
        </w:pPrChange>
      </w:pPr>
      <w:r>
        <w:t>The generated cipher text will never be smaller than the provided plain text.</w:t>
      </w:r>
      <w:r w:rsidR="002F0B83">
        <w:t xml:space="preserve"> This implies that there must always be a security result held in the BCB – either the authentication information from the </w:t>
      </w:r>
      <w:r w:rsidR="00812959">
        <w:t>security context</w:t>
      </w:r>
      <w:r w:rsidR="002F0B83">
        <w:t xml:space="preserve"> or the overflow caused by </w:t>
      </w:r>
      <w:r w:rsidR="00D53534">
        <w:t>including</w:t>
      </w:r>
      <w:r w:rsidR="002F0B83">
        <w:t xml:space="preserve"> such information in the cipher text itself. </w:t>
      </w:r>
    </w:p>
    <w:p w14:paraId="2AC0DD7E" w14:textId="5AE273DC" w:rsidR="00332FF3" w:rsidRPr="00731589" w:rsidRDefault="00BD1D23" w:rsidP="006E5A65">
      <w:pPr>
        <w:pStyle w:val="Paragraph4"/>
      </w:pPr>
      <w:r w:rsidRPr="00465D15">
        <w:t>A BCB must have at least one security result</w:t>
      </w:r>
      <w:r w:rsidR="00332FF3" w:rsidRPr="00BD1D23">
        <w:t>.</w:t>
      </w:r>
    </w:p>
    <w:p w14:paraId="43FDF673" w14:textId="77777777" w:rsidR="00332FF3" w:rsidRPr="001B79CE" w:rsidRDefault="00332FF3" w:rsidP="00332FF3">
      <w:pPr>
        <w:pStyle w:val="Notelevel1"/>
        <w:keepNext/>
      </w:pPr>
      <w:r w:rsidRPr="001B79CE">
        <w:t>NOTES</w:t>
      </w:r>
    </w:p>
    <w:p w14:paraId="00E48527" w14:textId="66ECBACA" w:rsidR="00332FF3" w:rsidRDefault="00332FF3" w:rsidP="00C818EF">
      <w:pPr>
        <w:pStyle w:val="Noteslevel1"/>
        <w:numPr>
          <w:ilvl w:val="0"/>
          <w:numId w:val="15"/>
        </w:numPr>
        <w:pPrChange w:id="138" w:author="Birrane, Edward J." w:date="2020-05-01T17:51:00Z">
          <w:pPr>
            <w:pStyle w:val="Noteslevel1"/>
            <w:numPr>
              <w:numId w:val="64"/>
            </w:numPr>
            <w:tabs>
              <w:tab w:val="num" w:pos="360"/>
            </w:tabs>
          </w:pPr>
        </w:pPrChange>
      </w:pPr>
      <w:r w:rsidRPr="001B79CE">
        <w:t>Th</w:t>
      </w:r>
      <w:r w:rsidR="000D2834">
        <w:t>e security result</w:t>
      </w:r>
      <w:r w:rsidRPr="001B79CE">
        <w:t xml:space="preserve"> compound field normally contains fields such as an encrypted bundle encryption key</w:t>
      </w:r>
      <w:r w:rsidR="000832BB">
        <w:t>,</w:t>
      </w:r>
      <w:r w:rsidRPr="001B79CE">
        <w:t xml:space="preserve"> authentication tag (integrity check value)</w:t>
      </w:r>
      <w:r w:rsidR="000832BB">
        <w:t>, or overflow cipher text</w:t>
      </w:r>
      <w:r w:rsidRPr="001B79CE">
        <w:t>.</w:t>
      </w:r>
    </w:p>
    <w:p w14:paraId="59D4E7CF" w14:textId="5EEFBAC5" w:rsidR="00332FF3" w:rsidRPr="001B79CE" w:rsidRDefault="00332FF3" w:rsidP="00C818EF">
      <w:pPr>
        <w:pStyle w:val="Noteslevel1"/>
        <w:numPr>
          <w:ilvl w:val="0"/>
          <w:numId w:val="15"/>
        </w:numPr>
        <w:pPrChange w:id="139" w:author="Birrane, Edward J." w:date="2020-05-01T17:51:00Z">
          <w:pPr>
            <w:pStyle w:val="Noteslevel1"/>
            <w:numPr>
              <w:numId w:val="64"/>
            </w:numPr>
            <w:tabs>
              <w:tab w:val="num" w:pos="360"/>
            </w:tabs>
          </w:pPr>
        </w:pPrChange>
      </w:pPr>
      <w:r w:rsidRPr="001B79CE">
        <w:t>The BCB modifies the contents of its target</w:t>
      </w:r>
      <w:r w:rsidR="00C57153">
        <w:t xml:space="preserve"> block</w:t>
      </w:r>
      <w:r w:rsidRPr="001B79CE">
        <w:t xml:space="preserve">. When </w:t>
      </w:r>
      <w:r w:rsidR="005B7C91">
        <w:t>confidentiality</w:t>
      </w:r>
      <w:r w:rsidRPr="001B79CE">
        <w:t xml:space="preserve"> is applied, the target </w:t>
      </w:r>
      <w:r w:rsidR="00FD1228">
        <w:t xml:space="preserve">block’s </w:t>
      </w:r>
      <w:r w:rsidRPr="001B79CE">
        <w:t>b</w:t>
      </w:r>
      <w:r w:rsidR="000832BB">
        <w:t>lock-type-specific</w:t>
      </w:r>
      <w:r w:rsidRPr="001B79CE">
        <w:t xml:space="preserve"> data </w:t>
      </w:r>
      <w:r w:rsidR="000832BB">
        <w:t>is</w:t>
      </w:r>
      <w:r w:rsidRPr="001B79CE">
        <w:t xml:space="preserve"> encrypted </w:t>
      </w:r>
      <w:r>
        <w:t>‘</w:t>
      </w:r>
      <w:r w:rsidRPr="001B79CE">
        <w:t>in-place</w:t>
      </w:r>
      <w:r>
        <w:t>’</w:t>
      </w:r>
      <w:r w:rsidRPr="001B79CE">
        <w:t xml:space="preserve">. Following encryption, the target </w:t>
      </w:r>
      <w:r w:rsidR="00FD1228">
        <w:t xml:space="preserve">block’s </w:t>
      </w:r>
      <w:r w:rsidR="00642F27">
        <w:t>block-type-specific</w:t>
      </w:r>
      <w:r w:rsidR="00642F27" w:rsidRPr="001B79CE">
        <w:t xml:space="preserve"> </w:t>
      </w:r>
      <w:r w:rsidRPr="001B79CE">
        <w:t>data contains cipher</w:t>
      </w:r>
      <w:r w:rsidR="00642F27">
        <w:t xml:space="preserve"> </w:t>
      </w:r>
      <w:r w:rsidRPr="001B79CE">
        <w:t>text, not plain</w:t>
      </w:r>
      <w:r w:rsidR="00642F27">
        <w:t xml:space="preserve"> </w:t>
      </w:r>
      <w:r w:rsidRPr="001B79CE">
        <w:t>text. Other target block fields (such as type, processing control flags, and length) remain unmodified.</w:t>
      </w:r>
    </w:p>
    <w:p w14:paraId="68D7ED3F" w14:textId="13DC5D9C" w:rsidR="00332FF3" w:rsidRDefault="00332FF3" w:rsidP="006E5A65">
      <w:pPr>
        <w:pStyle w:val="Paragraph4"/>
      </w:pPr>
      <w:r w:rsidRPr="001B79CE">
        <w:t xml:space="preserve">If the </w:t>
      </w:r>
      <w:r w:rsidR="00647E28">
        <w:t>security context</w:t>
      </w:r>
      <w:r w:rsidRPr="001B79CE">
        <w:t xml:space="preserve"> does not protect the entire, original target </w:t>
      </w:r>
      <w:r w:rsidR="008C2832">
        <w:t xml:space="preserve">block’s </w:t>
      </w:r>
      <w:r w:rsidR="00D748A9" w:rsidRPr="001B79CE">
        <w:t>b</w:t>
      </w:r>
      <w:r w:rsidR="00D748A9">
        <w:t>lock-type-specific</w:t>
      </w:r>
      <w:r w:rsidR="00D748A9" w:rsidRPr="001B79CE">
        <w:t xml:space="preserve"> </w:t>
      </w:r>
      <w:r w:rsidRPr="001B79CE">
        <w:t xml:space="preserve">data, the BCB for that target </w:t>
      </w:r>
      <w:r w:rsidR="000054C7">
        <w:t xml:space="preserve">block </w:t>
      </w:r>
      <w:r w:rsidRPr="001B79CE">
        <w:t xml:space="preserve">must specify, as part of the </w:t>
      </w:r>
      <w:r w:rsidR="00647E28">
        <w:t>security context</w:t>
      </w:r>
      <w:r w:rsidRPr="001B79CE">
        <w:t xml:space="preserve"> parameters, which bytes of the target </w:t>
      </w:r>
      <w:r w:rsidR="00AD0A46">
        <w:t xml:space="preserve">block’s </w:t>
      </w:r>
      <w:r w:rsidRPr="001B79CE">
        <w:t>b</w:t>
      </w:r>
      <w:r w:rsidR="000832BB">
        <w:t>lock-type-specific</w:t>
      </w:r>
      <w:r w:rsidRPr="001B79CE">
        <w:t xml:space="preserve"> data are protected.</w:t>
      </w:r>
    </w:p>
    <w:p w14:paraId="3EB577A8" w14:textId="07FFF31B" w:rsidR="00332FF3" w:rsidRDefault="00332FF3" w:rsidP="006E5A65">
      <w:pPr>
        <w:pStyle w:val="Paragraph4"/>
      </w:pPr>
      <w:r w:rsidRPr="001B79CE">
        <w:t xml:space="preserve">The BCB’s </w:t>
      </w:r>
      <w:r>
        <w:t>‘</w:t>
      </w:r>
      <w:r w:rsidRPr="001B79CE">
        <w:t>Discard if block cannot be processed</w:t>
      </w:r>
      <w:r>
        <w:t>’</w:t>
      </w:r>
      <w:r w:rsidRPr="001B79CE">
        <w:t xml:space="preserve"> flag may be set independently from its target</w:t>
      </w:r>
      <w:r w:rsidR="00A345DD">
        <w:t xml:space="preserve"> block</w:t>
      </w:r>
      <w:r w:rsidRPr="001B79CE">
        <w:t xml:space="preserve">’s </w:t>
      </w:r>
      <w:r>
        <w:t>‘</w:t>
      </w:r>
      <w:r w:rsidRPr="001B79CE">
        <w:t>Discard if block cannot be processed</w:t>
      </w:r>
      <w:r>
        <w:t>’</w:t>
      </w:r>
      <w:r w:rsidRPr="001B79CE">
        <w:t xml:space="preserve"> flag.</w:t>
      </w:r>
    </w:p>
    <w:p w14:paraId="52BC45D7" w14:textId="77777777" w:rsidR="00332FF3" w:rsidRDefault="00332FF3" w:rsidP="00332FF3">
      <w:pPr>
        <w:pStyle w:val="Notelevel1"/>
      </w:pPr>
      <w:r w:rsidRPr="001B79CE">
        <w:t>NOTE</w:t>
      </w:r>
      <w:r>
        <w:t>S</w:t>
      </w:r>
    </w:p>
    <w:p w14:paraId="1BD032D5" w14:textId="011E0697" w:rsidR="00332FF3" w:rsidRPr="001B79CE" w:rsidRDefault="00332FF3" w:rsidP="00C818EF">
      <w:pPr>
        <w:pStyle w:val="Noteslevel1"/>
        <w:numPr>
          <w:ilvl w:val="0"/>
          <w:numId w:val="9"/>
        </w:numPr>
        <w:pPrChange w:id="140" w:author="Birrane, Edward J." w:date="2020-05-01T17:51:00Z">
          <w:pPr>
            <w:pStyle w:val="Noteslevel1"/>
            <w:numPr>
              <w:numId w:val="16"/>
            </w:numPr>
            <w:ind w:hanging="360"/>
          </w:pPr>
        </w:pPrChange>
      </w:pPr>
      <w:r w:rsidRPr="001B79CE">
        <w:t xml:space="preserve">Whether or not the BCB’s </w:t>
      </w:r>
      <w:r>
        <w:t>‘</w:t>
      </w:r>
      <w:r w:rsidRPr="001B79CE">
        <w:t>discard</w:t>
      </w:r>
      <w:r>
        <w:t>’</w:t>
      </w:r>
      <w:r w:rsidRPr="001B79CE">
        <w:t xml:space="preserve"> flag is set is an implementation/policy decision for the </w:t>
      </w:r>
      <w:r w:rsidR="00D801AA">
        <w:t>enciphering</w:t>
      </w:r>
      <w:r w:rsidR="00D801AA" w:rsidRPr="001B79CE">
        <w:t xml:space="preserve"> </w:t>
      </w:r>
      <w:r w:rsidRPr="001B79CE">
        <w:t>node.</w:t>
      </w:r>
    </w:p>
    <w:p w14:paraId="1D3AD42C" w14:textId="77EF6FAC" w:rsidR="00332FF3" w:rsidRDefault="00332FF3" w:rsidP="00C818EF">
      <w:pPr>
        <w:pStyle w:val="Noteslevel1"/>
        <w:numPr>
          <w:ilvl w:val="0"/>
          <w:numId w:val="9"/>
        </w:numPr>
        <w:pPrChange w:id="141" w:author="Birrane, Edward J." w:date="2020-05-01T17:51:00Z">
          <w:pPr>
            <w:pStyle w:val="Noteslevel1"/>
            <w:numPr>
              <w:numId w:val="16"/>
            </w:numPr>
            <w:ind w:hanging="360"/>
          </w:pPr>
        </w:pPrChange>
      </w:pPr>
      <w:r w:rsidRPr="001B79CE">
        <w:t xml:space="preserve">Fragmentation, reassembly, and custody transfer are adversely affected by a change in size of the payload due to ambiguity about what byte range of the block is actually in any particular fragment.  The requirements for </w:t>
      </w:r>
      <w:r>
        <w:t>‘</w:t>
      </w:r>
      <w:r w:rsidRPr="001B79CE">
        <w:t>in-place</w:t>
      </w:r>
      <w:r>
        <w:t>’</w:t>
      </w:r>
      <w:r w:rsidRPr="001B79CE">
        <w:t xml:space="preserve"> encryption allow fragmentation, reassembly, and custody transfer to operate without knowledge of whether or not encryption has occurred.</w:t>
      </w:r>
    </w:p>
    <w:p w14:paraId="6F8949B9" w14:textId="77777777" w:rsidR="00647E28" w:rsidRDefault="00647E28" w:rsidP="00465D15">
      <w:pPr>
        <w:pStyle w:val="Noteslevel1"/>
        <w:ind w:left="0" w:firstLine="0"/>
      </w:pPr>
    </w:p>
    <w:p w14:paraId="5D336550" w14:textId="77777777" w:rsidR="00332FF3" w:rsidRPr="000969EC" w:rsidRDefault="00332FF3" w:rsidP="00465D15">
      <w:pPr>
        <w:pStyle w:val="Heading3"/>
      </w:pPr>
      <w:bookmarkStart w:id="142" w:name="_Toc350520809"/>
      <w:r w:rsidRPr="000969EC">
        <w:t>Block Interactions</w:t>
      </w:r>
      <w:bookmarkEnd w:id="142"/>
    </w:p>
    <w:p w14:paraId="40C6ECF5" w14:textId="58B882F2" w:rsidR="00332FF3" w:rsidRPr="001B79CE" w:rsidRDefault="0099593A" w:rsidP="00882696">
      <w:pPr>
        <w:pStyle w:val="Paragraph4"/>
      </w:pPr>
      <w:r>
        <w:t xml:space="preserve">A </w:t>
      </w:r>
      <w:r w:rsidR="00882696">
        <w:t>BIB and BCB must not share a target</w:t>
      </w:r>
      <w:r w:rsidR="007E7900">
        <w:t xml:space="preserve"> block</w:t>
      </w:r>
      <w:r w:rsidR="00882696">
        <w:t xml:space="preserve">. </w:t>
      </w:r>
      <w:r w:rsidR="00881473">
        <w:t>Therefore, the following rules must be followed.</w:t>
      </w:r>
    </w:p>
    <w:p w14:paraId="55DB776B" w14:textId="1C7BCC10" w:rsidR="00355D1C" w:rsidRDefault="00332FF3" w:rsidP="006E5A65">
      <w:pPr>
        <w:pStyle w:val="Paragraph5"/>
      </w:pPr>
      <w:r w:rsidRPr="001B79CE">
        <w:lastRenderedPageBreak/>
        <w:t>A</w:t>
      </w:r>
      <w:r w:rsidR="00EB656F">
        <w:t xml:space="preserve"> BIB</w:t>
      </w:r>
      <w:r w:rsidRPr="001B79CE">
        <w:t xml:space="preserve"> must not be </w:t>
      </w:r>
      <w:r w:rsidR="00EB656F">
        <w:t>added for</w:t>
      </w:r>
      <w:r w:rsidR="00EB656F" w:rsidRPr="001B79CE">
        <w:t xml:space="preserve"> </w:t>
      </w:r>
      <w:r w:rsidRPr="001B79CE">
        <w:t>a target</w:t>
      </w:r>
      <w:r w:rsidR="002742F2">
        <w:t xml:space="preserve"> block</w:t>
      </w:r>
      <w:r w:rsidRPr="001B79CE">
        <w:t xml:space="preserve"> </w:t>
      </w:r>
      <w:r w:rsidR="00EB656F">
        <w:t xml:space="preserve">that is already the target of a </w:t>
      </w:r>
      <w:r w:rsidRPr="001B79CE">
        <w:t>BCB.</w:t>
      </w:r>
      <w:r w:rsidR="00F310ED">
        <w:t xml:space="preserve"> </w:t>
      </w:r>
    </w:p>
    <w:p w14:paraId="3782997D" w14:textId="6E747A7C" w:rsidR="00EB656F" w:rsidRDefault="00355D1C" w:rsidP="00465D15">
      <w:pPr>
        <w:pStyle w:val="Paragraph5"/>
      </w:pPr>
      <w:r>
        <w:t xml:space="preserve">A </w:t>
      </w:r>
      <w:r w:rsidR="00EB656F">
        <w:t>BCB</w:t>
      </w:r>
      <w:r w:rsidR="00F310ED">
        <w:t xml:space="preserve"> must not be </w:t>
      </w:r>
      <w:r w:rsidR="00EB656F">
        <w:t xml:space="preserve">added for a </w:t>
      </w:r>
      <w:r w:rsidR="00F310ED">
        <w:t>target</w:t>
      </w:r>
      <w:r w:rsidR="006079F8">
        <w:t xml:space="preserve"> block</w:t>
      </w:r>
      <w:r w:rsidR="00F310ED">
        <w:t xml:space="preserve"> </w:t>
      </w:r>
      <w:r w:rsidR="00EB656F">
        <w:t xml:space="preserve">that is already the target of a </w:t>
      </w:r>
      <w:r w:rsidR="00F310ED">
        <w:t>BIB</w:t>
      </w:r>
      <w:r w:rsidR="00EB656F">
        <w:t>.</w:t>
      </w:r>
      <w:r>
        <w:t xml:space="preserve"> </w:t>
      </w:r>
    </w:p>
    <w:p w14:paraId="35CD3671" w14:textId="2A690109" w:rsidR="00EB656F" w:rsidRDefault="00EB656F" w:rsidP="00465D15">
      <w:pPr>
        <w:pStyle w:val="Paragraph5"/>
        <w:numPr>
          <w:ilvl w:val="0"/>
          <w:numId w:val="0"/>
        </w:numPr>
      </w:pPr>
      <w:r>
        <w:t>NOTE – A BPA does not need to add both a BIB and a BCB for a target block because the BCB provides an integrity protection mechanism for its target block in the security results of the BCB.</w:t>
      </w:r>
    </w:p>
    <w:p w14:paraId="29FFE71B" w14:textId="16030872" w:rsidR="00A13E46" w:rsidRDefault="007A515C" w:rsidP="00465D15">
      <w:pPr>
        <w:pStyle w:val="Heading3"/>
      </w:pPr>
      <w:bookmarkStart w:id="143" w:name="_Ref38553717"/>
      <w:r>
        <w:t>Security Context</w:t>
      </w:r>
      <w:r w:rsidR="005458D6" w:rsidRPr="005458D6">
        <w:t xml:space="preserve"> parameter </w:t>
      </w:r>
      <w:r w:rsidR="00827697">
        <w:t>and result</w:t>
      </w:r>
      <w:r w:rsidR="00E507FD">
        <w:t xml:space="preserve"> Identification</w:t>
      </w:r>
    </w:p>
    <w:p w14:paraId="211CCBA2" w14:textId="1916F424" w:rsidR="00AA5883" w:rsidRDefault="00AA5883" w:rsidP="00465D15"/>
    <w:p w14:paraId="4E3DC7AF" w14:textId="0C7FAB93" w:rsidR="00E507FD" w:rsidRDefault="00E35295" w:rsidP="00465D15">
      <w:pPr>
        <w:jc w:val="both"/>
      </w:pPr>
      <w:r>
        <w:t xml:space="preserve">Security contexts must be formally specified and registered. A security context specification </w:t>
      </w:r>
      <w:r w:rsidR="00E507FD">
        <w:t>must define its own context parameters and results.  Each defined parameter and result is represented as the tuple of an identifier and a value. Identifiers are always represented as an SDNV-encoded integer. The encoding of values is as defined in the security context specification.</w:t>
      </w:r>
    </w:p>
    <w:p w14:paraId="34005C65" w14:textId="0582D489" w:rsidR="00E507FD" w:rsidRDefault="00E507FD" w:rsidP="00465D15">
      <w:pPr>
        <w:jc w:val="both"/>
      </w:pPr>
    </w:p>
    <w:p w14:paraId="07202E64" w14:textId="536DD5F0" w:rsidR="00E507FD" w:rsidRDefault="00E507FD" w:rsidP="00465D15">
      <w:pPr>
        <w:tabs>
          <w:tab w:val="left" w:pos="810"/>
        </w:tabs>
        <w:ind w:left="1080" w:hanging="1080"/>
        <w:jc w:val="both"/>
      </w:pPr>
      <w:r>
        <w:t xml:space="preserve">NOTE </w:t>
      </w:r>
      <w:r w:rsidR="00E35295">
        <w:tab/>
      </w:r>
      <w:proofErr w:type="gramStart"/>
      <w:r>
        <w:t xml:space="preserve">– </w:t>
      </w:r>
      <w:r w:rsidR="00E35295">
        <w:t xml:space="preserve"> </w:t>
      </w:r>
      <w:r>
        <w:t>Identifiers</w:t>
      </w:r>
      <w:proofErr w:type="gramEnd"/>
      <w:r>
        <w:t xml:space="preserve"> must be unique for a given security context but do not need to be globally unique.</w:t>
      </w:r>
    </w:p>
    <w:p w14:paraId="2D979838" w14:textId="0616E73C" w:rsidR="00E507FD" w:rsidRDefault="00E507FD" w:rsidP="00465D15">
      <w:pPr>
        <w:jc w:val="both"/>
      </w:pPr>
    </w:p>
    <w:p w14:paraId="37B19FF3" w14:textId="6E98A7CB" w:rsidR="00E507FD" w:rsidRDefault="00E507FD" w:rsidP="00465D15">
      <w:pPr>
        <w:tabs>
          <w:tab w:val="left" w:pos="810"/>
        </w:tabs>
        <w:ind w:left="1080" w:hanging="1080"/>
        <w:jc w:val="both"/>
      </w:pPr>
      <w:r>
        <w:t xml:space="preserve">NOTE </w:t>
      </w:r>
      <w:r w:rsidR="006D5A1A">
        <w:tab/>
      </w:r>
      <w:r>
        <w:t>– An example of a security context specification is provided in Annex E.</w:t>
      </w:r>
    </w:p>
    <w:p w14:paraId="716A069D" w14:textId="77777777" w:rsidR="0019267D" w:rsidRDefault="0019267D" w:rsidP="00465D15">
      <w:pPr>
        <w:tabs>
          <w:tab w:val="left" w:pos="810"/>
        </w:tabs>
        <w:jc w:val="both"/>
      </w:pPr>
    </w:p>
    <w:p w14:paraId="2A60D970" w14:textId="0C96E817" w:rsidR="00332FF3" w:rsidRPr="001B79CE" w:rsidRDefault="00332FF3" w:rsidP="00465D15">
      <w:pPr>
        <w:pStyle w:val="Heading2"/>
      </w:pPr>
      <w:bookmarkStart w:id="144" w:name="_Toc350520813"/>
      <w:bookmarkStart w:id="145" w:name="_Toc39246853"/>
      <w:bookmarkEnd w:id="143"/>
      <w:r w:rsidRPr="001B79CE">
        <w:t xml:space="preserve">Security </w:t>
      </w:r>
      <w:bookmarkEnd w:id="144"/>
      <w:r w:rsidR="000969EC">
        <w:t>Protocol Procedures</w:t>
      </w:r>
      <w:bookmarkEnd w:id="145"/>
    </w:p>
    <w:p w14:paraId="4A4B4FCF" w14:textId="77777777" w:rsidR="000A4FFA" w:rsidRDefault="000A4FFA" w:rsidP="00465D15">
      <w:pPr>
        <w:jc w:val="both"/>
      </w:pPr>
    </w:p>
    <w:p w14:paraId="148AABB8" w14:textId="1FF82C54" w:rsidR="00332FF3" w:rsidRDefault="00332FF3" w:rsidP="00465D15">
      <w:pPr>
        <w:pStyle w:val="Heading3"/>
      </w:pPr>
      <w:bookmarkStart w:id="146" w:name="_Ref507596826"/>
      <w:r w:rsidRPr="001B79CE">
        <w:t>Canonicalization algorithms</w:t>
      </w:r>
      <w:bookmarkEnd w:id="146"/>
    </w:p>
    <w:p w14:paraId="0EC94EE9" w14:textId="06C78B27" w:rsidR="004B6ABC" w:rsidRDefault="004B6ABC" w:rsidP="00465D15"/>
    <w:p w14:paraId="58A3A8AB" w14:textId="4A306847" w:rsidR="000746A6" w:rsidRDefault="004B6ABC" w:rsidP="004B6ABC">
      <w:pPr>
        <w:jc w:val="both"/>
        <w:rPr>
          <w:rFonts w:ascii="Courier New" w:hAnsi="Courier New" w:cs="Courier New"/>
          <w:sz w:val="20"/>
          <w:szCs w:val="20"/>
        </w:rPr>
      </w:pPr>
      <w:r w:rsidRPr="00951FC4">
        <w:t>Security services require consistency and determinism in how</w:t>
      </w:r>
      <w:r>
        <w:t xml:space="preserve"> </w:t>
      </w:r>
      <w:r w:rsidRPr="00951FC4">
        <w:t>i</w:t>
      </w:r>
      <w:r w:rsidRPr="001A4BF9">
        <w:t xml:space="preserve">nformation is presented to </w:t>
      </w:r>
      <w:r w:rsidR="00CA6C98">
        <w:t>a security context</w:t>
      </w:r>
      <w:r w:rsidRPr="001A4BF9">
        <w:t xml:space="preserve"> at the security source and</w:t>
      </w:r>
      <w:r w:rsidRPr="00951FC4">
        <w:t xml:space="preserve"> </w:t>
      </w:r>
      <w:r w:rsidRPr="001A4BF9">
        <w:t>at a receiving node.  For example, integrity services require that</w:t>
      </w:r>
      <w:r w:rsidRPr="00951FC4">
        <w:t xml:space="preserve"> </w:t>
      </w:r>
      <w:r w:rsidRPr="001A4BF9">
        <w:t>the same target information (e.g., the same bits in the same order)</w:t>
      </w:r>
      <w:r>
        <w:t xml:space="preserve"> </w:t>
      </w:r>
      <w:r w:rsidRPr="001A4BF9">
        <w:t xml:space="preserve">is provided to the </w:t>
      </w:r>
      <w:r w:rsidR="00CA6C98">
        <w:t>security context</w:t>
      </w:r>
      <w:r w:rsidRPr="001A4BF9">
        <w:t xml:space="preserve"> when generating an original signature</w:t>
      </w:r>
      <w:r w:rsidRPr="00951FC4">
        <w:t xml:space="preserve"> </w:t>
      </w:r>
      <w:r w:rsidRPr="001A4BF9">
        <w:t>and when validating a signature.  Canonicalization algorithms are</w:t>
      </w:r>
      <w:r w:rsidRPr="00951FC4">
        <w:t xml:space="preserve"> </w:t>
      </w:r>
      <w:r w:rsidRPr="001A4BF9">
        <w:t>used to construct a stable, end-to-end bit representation of a target block.</w:t>
      </w:r>
    </w:p>
    <w:p w14:paraId="74B668DC" w14:textId="14E1B749" w:rsidR="000746A6" w:rsidRDefault="000746A6" w:rsidP="004B6ABC">
      <w:pPr>
        <w:jc w:val="both"/>
        <w:rPr>
          <w:rFonts w:ascii="Courier New" w:hAnsi="Courier New" w:cs="Courier New"/>
          <w:sz w:val="20"/>
          <w:szCs w:val="20"/>
        </w:rPr>
      </w:pPr>
    </w:p>
    <w:p w14:paraId="30321822" w14:textId="7C420B9D" w:rsidR="004B6ABC" w:rsidRPr="00510364" w:rsidRDefault="00CA6C98" w:rsidP="00465D15">
      <w:pPr>
        <w:jc w:val="both"/>
      </w:pPr>
      <w:r>
        <w:t>Security contexts</w:t>
      </w:r>
      <w:r w:rsidR="000746A6" w:rsidRPr="001B79CE">
        <w:t xml:space="preserve"> may define their own canonicalization algorithms and require the use of those algorithms instead of the ones provided in this specification.</w:t>
      </w:r>
    </w:p>
    <w:p w14:paraId="26EA74E8" w14:textId="0E50EB39" w:rsidR="00332FF3" w:rsidRDefault="00332FF3" w:rsidP="006E5A65">
      <w:pPr>
        <w:pStyle w:val="Paragraph4"/>
      </w:pPr>
      <w:r w:rsidRPr="001B79CE">
        <w:t>The three types of blocks that may undergo block canonicalization are the primary block, the payload block, and extension blocks.</w:t>
      </w:r>
    </w:p>
    <w:p w14:paraId="515CA221" w14:textId="2097E1EE" w:rsidR="006D186B" w:rsidRPr="001B79CE" w:rsidRDefault="006D186B" w:rsidP="00465D15">
      <w:pPr>
        <w:pStyle w:val="Paragraph4"/>
        <w:numPr>
          <w:ilvl w:val="0"/>
          <w:numId w:val="0"/>
        </w:numPr>
      </w:pPr>
      <w:r>
        <w:t>NOTE</w:t>
      </w:r>
      <w:r w:rsidR="002A42FA">
        <w:t xml:space="preserve"> </w:t>
      </w:r>
      <w:r>
        <w:t xml:space="preserve"> </w:t>
      </w:r>
      <w:r w:rsidR="002A42FA">
        <w:t xml:space="preserve"> </w:t>
      </w:r>
      <w:r>
        <w:t xml:space="preserve">– </w:t>
      </w:r>
      <w:r w:rsidR="002A42FA">
        <w:t xml:space="preserve">  </w:t>
      </w:r>
      <w:r w:rsidR="00C8018D" w:rsidRPr="001B79CE">
        <w:t xml:space="preserve">The canonical forms </w:t>
      </w:r>
      <w:r w:rsidR="00357A00">
        <w:t>of these</w:t>
      </w:r>
      <w:r w:rsidR="00C8018D" w:rsidRPr="001B79CE">
        <w:t xml:space="preserve"> blocks are not transmitted.</w:t>
      </w:r>
    </w:p>
    <w:p w14:paraId="46A30B8D" w14:textId="4B23CE14" w:rsidR="00FC7EEE" w:rsidRDefault="00544B4C" w:rsidP="00465D15">
      <w:pPr>
        <w:pStyle w:val="Heading4"/>
      </w:pPr>
      <w:r>
        <w:t>Self-Deli</w:t>
      </w:r>
      <w:r w:rsidR="004E64FF">
        <w:t>mit</w:t>
      </w:r>
      <w:r>
        <w:t xml:space="preserve">ing Numerical Values (SDNVs) </w:t>
      </w:r>
    </w:p>
    <w:p w14:paraId="0B93B191" w14:textId="0B90A1FD" w:rsidR="00332FF3" w:rsidRPr="00D3308C" w:rsidRDefault="00332FF3" w:rsidP="00465D15">
      <w:pPr>
        <w:pStyle w:val="Paragraph4"/>
        <w:numPr>
          <w:ilvl w:val="0"/>
          <w:numId w:val="0"/>
        </w:numPr>
      </w:pPr>
      <w:r w:rsidRPr="00D3308C">
        <w:t xml:space="preserve">Where a block contains SDNVs, the canonical form </w:t>
      </w:r>
      <w:r w:rsidR="002865FC">
        <w:t xml:space="preserve">of any SDNV </w:t>
      </w:r>
      <w:r w:rsidRPr="00D3308C">
        <w:t>shall be an eight-byte fixed-width integer field in network byte order representing the ordinal number of the SDNV.</w:t>
      </w:r>
    </w:p>
    <w:p w14:paraId="3C0FAD84" w14:textId="26249421" w:rsidR="00332FF3" w:rsidRPr="001B79CE" w:rsidRDefault="00332FF3" w:rsidP="00332FF3">
      <w:pPr>
        <w:pStyle w:val="Notelevel1"/>
      </w:pPr>
      <w:r w:rsidRPr="001B79CE">
        <w:lastRenderedPageBreak/>
        <w:t>NOTE</w:t>
      </w:r>
      <w:r w:rsidRPr="001B79CE">
        <w:tab/>
        <w:t>–</w:t>
      </w:r>
      <w:r w:rsidRPr="001B79CE">
        <w:tab/>
        <w:t xml:space="preserve">The size of eight bytes is chosen because implementations may treat larger SDNV values as invalid, as noted in the BP specification (reference </w:t>
      </w:r>
      <w:r w:rsidRPr="001B79CE">
        <w:fldChar w:fldCharType="begin"/>
      </w:r>
      <w:r w:rsidRPr="001B79CE">
        <w:instrText xml:space="preserve"> REF R_734x2b1CcsdsBundleProtocolSpecificatio \h </w:instrText>
      </w:r>
      <w:r w:rsidRPr="001B79CE">
        <w:fldChar w:fldCharType="separate"/>
      </w:r>
      <w:r w:rsidR="000969EC" w:rsidRPr="001B79CE">
        <w:t>[</w:t>
      </w:r>
      <w:r w:rsidR="000969EC">
        <w:rPr>
          <w:noProof/>
        </w:rPr>
        <w:t>1</w:t>
      </w:r>
      <w:r w:rsidR="000969EC" w:rsidRPr="001B79CE">
        <w:t>]</w:t>
      </w:r>
      <w:r w:rsidRPr="001B79CE">
        <w:fldChar w:fldCharType="end"/>
      </w:r>
      <w:r w:rsidRPr="001B79CE">
        <w:t>).</w:t>
      </w:r>
    </w:p>
    <w:p w14:paraId="35D9D2C2" w14:textId="3C4015FE" w:rsidR="00FC7EEE" w:rsidRDefault="00544B4C" w:rsidP="00465D15">
      <w:pPr>
        <w:pStyle w:val="Heading4"/>
      </w:pPr>
      <w:r>
        <w:t>Endpoint Identifiers (EIDs)</w:t>
      </w:r>
    </w:p>
    <w:p w14:paraId="5D716979" w14:textId="1FDE7FCE" w:rsidR="005E2DBC" w:rsidRDefault="005E2DBC" w:rsidP="00465D15">
      <w:pPr>
        <w:pStyle w:val="Paragraph4"/>
        <w:numPr>
          <w:ilvl w:val="0"/>
          <w:numId w:val="0"/>
        </w:numPr>
      </w:pPr>
      <w:r>
        <w:t>Where a block contains an endpoint ID (EID), the canonical form of the EID shall be represented based on whether the EID uses CBHE or not.</w:t>
      </w:r>
    </w:p>
    <w:p w14:paraId="499A0DAB" w14:textId="1E86A368" w:rsidR="005E2DBC" w:rsidRDefault="005E2DBC" w:rsidP="005E2DBC">
      <w:pPr>
        <w:pStyle w:val="Paragraph5"/>
      </w:pPr>
      <w:r>
        <w:t>If the EID uses CBHE, the canonical form of the EID shall be the canonical form of the two SDNVs comprising the EID scheme name offset and scheme specific part offset, respectively.</w:t>
      </w:r>
    </w:p>
    <w:p w14:paraId="160949CF" w14:textId="06285A05" w:rsidR="00672A2B" w:rsidRDefault="005E2DBC" w:rsidP="00465D15">
      <w:pPr>
        <w:pStyle w:val="Paragraph5"/>
      </w:pPr>
      <w:r>
        <w:t>If the EID does not use CBHE, the canonical form of the EID shall be the URI copied from the relevant parts(s) of the dictionary block and the scheme name offset and scheme specific part offset shall not appear in the canonicalization.</w:t>
      </w:r>
    </w:p>
    <w:p w14:paraId="6631E9CE" w14:textId="77777777" w:rsidR="00345795" w:rsidRDefault="00345795" w:rsidP="00672A2B">
      <w:pPr>
        <w:ind w:left="1170" w:hanging="1170"/>
      </w:pPr>
    </w:p>
    <w:p w14:paraId="1EC7693F" w14:textId="61E9ECE5" w:rsidR="00672A2B" w:rsidRPr="00115A8C" w:rsidRDefault="00672A2B" w:rsidP="00465D15">
      <w:pPr>
        <w:ind w:left="1170" w:hanging="1170"/>
        <w:jc w:val="both"/>
      </w:pPr>
      <w:r>
        <w:t xml:space="preserve">NOTE   –   </w:t>
      </w:r>
      <w:r w:rsidRPr="001B79CE">
        <w:t xml:space="preserve">The URI encoding will cause errors if any node rewrites the dictionary content (e.g., changing the DNS part of an HTTP URL from lower case to upper case). This could happen transparently when a bundle is synched to disk using one set of software and then read from disk and forwarded by a second set of software. Because there are no general rules for </w:t>
      </w:r>
      <w:proofErr w:type="spellStart"/>
      <w:r w:rsidRPr="001B79CE">
        <w:t>canonicalizing</w:t>
      </w:r>
      <w:proofErr w:type="spellEnd"/>
      <w:r w:rsidRPr="001B79CE">
        <w:t xml:space="preserve"> URIs (or IRIs), this problem may be an unavoidable source of integrity failures.</w:t>
      </w:r>
    </w:p>
    <w:p w14:paraId="631D69CE" w14:textId="516E80A4" w:rsidR="00672A2B" w:rsidRDefault="00345795" w:rsidP="00672A2B">
      <w:pPr>
        <w:pStyle w:val="Paragraph5"/>
      </w:pPr>
      <w:r>
        <w:t xml:space="preserve">When </w:t>
      </w:r>
      <w:proofErr w:type="spellStart"/>
      <w:r>
        <w:t>canonicalizing</w:t>
      </w:r>
      <w:proofErr w:type="spellEnd"/>
      <w:r>
        <w:t xml:space="preserve"> a dictionary entry, the </w:t>
      </w:r>
      <w:r w:rsidR="00672A2B" w:rsidRPr="00115A8C">
        <w:t>‘null-terminators’ shall not be included in the length or the canonicalization of URIs.</w:t>
      </w:r>
    </w:p>
    <w:p w14:paraId="7A70F9F5" w14:textId="77777777" w:rsidR="00672A2B" w:rsidRDefault="00672A2B" w:rsidP="00672A2B"/>
    <w:p w14:paraId="5B3226BC" w14:textId="77777777" w:rsidR="00672A2B" w:rsidRDefault="00672A2B" w:rsidP="00672A2B">
      <w:r>
        <w:t>NOTES</w:t>
      </w:r>
    </w:p>
    <w:p w14:paraId="2E04E885" w14:textId="77777777" w:rsidR="00672A2B" w:rsidRDefault="00672A2B" w:rsidP="00672A2B"/>
    <w:p w14:paraId="282A759E" w14:textId="1749FB35" w:rsidR="00672A2B" w:rsidRDefault="00672A2B" w:rsidP="00465D15">
      <w:pPr>
        <w:ind w:left="720" w:hanging="720"/>
      </w:pPr>
      <w:r>
        <w:t>1</w:t>
      </w:r>
      <w:r>
        <w:tab/>
      </w:r>
      <w:r w:rsidRPr="001B79CE">
        <w:t xml:space="preserve">The URI encoding used for canonicalization does not preserve the null-termination convention from the dictionary field, nor </w:t>
      </w:r>
      <w:r>
        <w:t xml:space="preserve">is </w:t>
      </w:r>
      <w:r w:rsidRPr="001B79CE">
        <w:t>the scheme and Scheme-Specific Part (SSP) canonicalize</w:t>
      </w:r>
      <w:r>
        <w:t>d</w:t>
      </w:r>
      <w:r w:rsidRPr="001B79CE">
        <w:t xml:space="preserve"> separately. Instead, the byte array &lt; scheme name &gt;</w:t>
      </w:r>
      <w:r w:rsidRPr="00C839BF">
        <w:t xml:space="preserve"> :</w:t>
      </w:r>
      <w:r w:rsidRPr="001B79CE">
        <w:t xml:space="preserve"> &lt; SSP</w:t>
      </w:r>
      <w:r>
        <w:t xml:space="preserve"> </w:t>
      </w:r>
      <w:r w:rsidRPr="001B79CE">
        <w:t>&gt; is used in the canonicalization.</w:t>
      </w:r>
    </w:p>
    <w:p w14:paraId="0AB78BE6" w14:textId="0C36DBC0" w:rsidR="00672A2B" w:rsidRDefault="00672A2B" w:rsidP="00465D15">
      <w:pPr>
        <w:pStyle w:val="Paragraph5"/>
        <w:numPr>
          <w:ilvl w:val="0"/>
          <w:numId w:val="0"/>
        </w:numPr>
        <w:tabs>
          <w:tab w:val="clear" w:pos="1080"/>
          <w:tab w:val="left" w:pos="720"/>
        </w:tabs>
        <w:ind w:left="720" w:hanging="720"/>
      </w:pPr>
      <w:r>
        <w:t>2</w:t>
      </w:r>
      <w:r w:rsidR="000773DD">
        <w:tab/>
      </w:r>
      <w:r>
        <w:t>A separator token: “,” shall be used when multiple EIDs are canonicalized together to determine where one EID ends and another begins.</w:t>
      </w:r>
    </w:p>
    <w:p w14:paraId="0738EC95" w14:textId="1C658597" w:rsidR="00330D52" w:rsidRDefault="00C60A0E" w:rsidP="00465D15">
      <w:pPr>
        <w:pStyle w:val="Heading4"/>
      </w:pPr>
      <w:r>
        <w:t xml:space="preserve">The </w:t>
      </w:r>
      <w:r w:rsidR="00330D52">
        <w:t>Primary Block</w:t>
      </w:r>
    </w:p>
    <w:p w14:paraId="40807061" w14:textId="476EF850" w:rsidR="00332FF3" w:rsidRDefault="00332FF3" w:rsidP="00465D15">
      <w:pPr>
        <w:pStyle w:val="Paragraph4"/>
        <w:numPr>
          <w:ilvl w:val="0"/>
          <w:numId w:val="0"/>
        </w:numPr>
      </w:pPr>
      <w:r w:rsidRPr="000969EC">
        <w:t xml:space="preserve">The canonical form of the primary block shall be as shown in figure </w:t>
      </w:r>
      <w:r w:rsidRPr="00C25F3B">
        <w:fldChar w:fldCharType="begin"/>
      </w:r>
      <w:r w:rsidRPr="00C25F3B">
        <w:instrText xml:space="preserve"> REF F_401TheCanonicalFormofthePrimaryBundleB \h </w:instrText>
      </w:r>
      <w:r w:rsidR="000969EC">
        <w:instrText xml:space="preserve"> \* MERGEFORMAT </w:instrText>
      </w:r>
      <w:r w:rsidRPr="00C25F3B">
        <w:fldChar w:fldCharType="separate"/>
      </w:r>
      <w:r w:rsidR="006E5A65">
        <w:t>4</w:t>
      </w:r>
      <w:r w:rsidR="006E5A65" w:rsidRPr="006E5A65">
        <w:noBreakHyphen/>
      </w:r>
      <w:r w:rsidR="006E5A65">
        <w:t>3</w:t>
      </w:r>
      <w:r w:rsidRPr="00C25F3B">
        <w:fldChar w:fldCharType="end"/>
      </w:r>
      <w:r w:rsidRPr="00C25F3B">
        <w:t>.</w:t>
      </w:r>
      <w:r w:rsidR="006A4AC0">
        <w:t xml:space="preserve"> The fields of the primary block are presented in the order in which they must appear.</w:t>
      </w:r>
    </w:p>
    <w:p w14:paraId="236E5BF5" w14:textId="77777777" w:rsidR="00A4762A" w:rsidRPr="00C25F3B" w:rsidRDefault="00A4762A" w:rsidP="00465D15">
      <w:pPr>
        <w:pStyle w:val="Paragraph4"/>
        <w:numPr>
          <w:ilvl w:val="0"/>
          <w:numId w:val="0"/>
        </w:num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4190"/>
      </w:tblGrid>
      <w:tr w:rsidR="00332FF3" w:rsidRPr="001B79CE" w14:paraId="677FAD61" w14:textId="77777777" w:rsidTr="00E85F56">
        <w:trPr>
          <w:jc w:val="center"/>
        </w:trPr>
        <w:tc>
          <w:tcPr>
            <w:tcW w:w="1210" w:type="dxa"/>
            <w:shd w:val="clear" w:color="auto" w:fill="auto"/>
            <w:vAlign w:val="center"/>
          </w:tcPr>
          <w:p w14:paraId="1A640166" w14:textId="77777777" w:rsidR="00332FF3" w:rsidRPr="00115A8C" w:rsidRDefault="00332FF3" w:rsidP="00E85F56">
            <w:pPr>
              <w:jc w:val="center"/>
              <w:rPr>
                <w:rFonts w:eastAsia="Calibri"/>
                <w:sz w:val="20"/>
              </w:rPr>
            </w:pPr>
            <w:r w:rsidRPr="00115A8C">
              <w:rPr>
                <w:rFonts w:eastAsia="Calibri"/>
                <w:sz w:val="20"/>
              </w:rPr>
              <w:t>Version</w:t>
            </w:r>
          </w:p>
        </w:tc>
        <w:tc>
          <w:tcPr>
            <w:tcW w:w="4190" w:type="dxa"/>
            <w:shd w:val="clear" w:color="auto" w:fill="auto"/>
            <w:vAlign w:val="center"/>
          </w:tcPr>
          <w:p w14:paraId="09965676" w14:textId="77777777" w:rsidR="00332FF3" w:rsidRPr="00115A8C" w:rsidRDefault="00332FF3" w:rsidP="00E85F56">
            <w:pPr>
              <w:jc w:val="center"/>
              <w:rPr>
                <w:rFonts w:eastAsia="Calibri"/>
                <w:sz w:val="20"/>
              </w:rPr>
            </w:pPr>
            <w:r w:rsidRPr="00115A8C">
              <w:rPr>
                <w:rFonts w:eastAsia="Calibri"/>
                <w:sz w:val="20"/>
              </w:rPr>
              <w:t>Processing flags (incl. COS and SRR)</w:t>
            </w:r>
          </w:p>
        </w:tc>
      </w:tr>
      <w:tr w:rsidR="00332FF3" w:rsidRPr="001B79CE" w14:paraId="1FEE62F2" w14:textId="77777777" w:rsidTr="00E85F56">
        <w:trPr>
          <w:jc w:val="center"/>
        </w:trPr>
        <w:tc>
          <w:tcPr>
            <w:tcW w:w="5400" w:type="dxa"/>
            <w:gridSpan w:val="2"/>
            <w:shd w:val="clear" w:color="auto" w:fill="auto"/>
            <w:vAlign w:val="center"/>
          </w:tcPr>
          <w:p w14:paraId="282B4B24" w14:textId="77777777" w:rsidR="00332FF3" w:rsidRPr="00115A8C" w:rsidRDefault="00332FF3" w:rsidP="00E85F56">
            <w:pPr>
              <w:jc w:val="center"/>
              <w:rPr>
                <w:rFonts w:eastAsia="Calibri"/>
                <w:sz w:val="20"/>
              </w:rPr>
            </w:pPr>
            <w:r w:rsidRPr="00115A8C">
              <w:rPr>
                <w:rFonts w:eastAsia="Calibri"/>
                <w:sz w:val="20"/>
              </w:rPr>
              <w:t>Canonical primary block length</w:t>
            </w:r>
          </w:p>
        </w:tc>
      </w:tr>
      <w:tr w:rsidR="00332FF3" w:rsidRPr="001B79CE" w14:paraId="715C00BE" w14:textId="77777777" w:rsidTr="00E85F56">
        <w:trPr>
          <w:jc w:val="center"/>
        </w:trPr>
        <w:tc>
          <w:tcPr>
            <w:tcW w:w="5400" w:type="dxa"/>
            <w:gridSpan w:val="2"/>
            <w:shd w:val="clear" w:color="auto" w:fill="auto"/>
            <w:vAlign w:val="center"/>
          </w:tcPr>
          <w:p w14:paraId="1756A09A" w14:textId="77777777" w:rsidR="00332FF3" w:rsidRPr="00115A8C" w:rsidRDefault="00332FF3" w:rsidP="00E85F56">
            <w:pPr>
              <w:jc w:val="center"/>
              <w:rPr>
                <w:rFonts w:eastAsia="Calibri"/>
                <w:sz w:val="20"/>
              </w:rPr>
            </w:pPr>
            <w:r w:rsidRPr="00115A8C">
              <w:rPr>
                <w:rFonts w:eastAsia="Calibri"/>
                <w:sz w:val="20"/>
              </w:rPr>
              <w:t>Destination endpoint ID length</w:t>
            </w:r>
          </w:p>
        </w:tc>
      </w:tr>
      <w:tr w:rsidR="00332FF3" w:rsidRPr="001B79CE" w14:paraId="0F63CBB8" w14:textId="77777777" w:rsidTr="00E85F56">
        <w:trPr>
          <w:jc w:val="center"/>
        </w:trPr>
        <w:tc>
          <w:tcPr>
            <w:tcW w:w="5400" w:type="dxa"/>
            <w:gridSpan w:val="2"/>
            <w:shd w:val="clear" w:color="auto" w:fill="auto"/>
            <w:vAlign w:val="center"/>
          </w:tcPr>
          <w:p w14:paraId="71958031" w14:textId="77777777" w:rsidR="00332FF3" w:rsidRPr="00115A8C" w:rsidRDefault="00332FF3" w:rsidP="00E85F56">
            <w:pPr>
              <w:jc w:val="center"/>
              <w:rPr>
                <w:rFonts w:eastAsia="Calibri"/>
                <w:sz w:val="20"/>
              </w:rPr>
            </w:pPr>
            <w:r w:rsidRPr="00115A8C">
              <w:rPr>
                <w:rFonts w:eastAsia="Calibri"/>
                <w:sz w:val="20"/>
              </w:rPr>
              <w:t>Destination endpoint ID</w:t>
            </w:r>
          </w:p>
        </w:tc>
      </w:tr>
      <w:tr w:rsidR="00332FF3" w:rsidRPr="001B79CE" w14:paraId="2A57EC76" w14:textId="77777777" w:rsidTr="00E85F56">
        <w:trPr>
          <w:jc w:val="center"/>
        </w:trPr>
        <w:tc>
          <w:tcPr>
            <w:tcW w:w="5400" w:type="dxa"/>
            <w:gridSpan w:val="2"/>
            <w:shd w:val="clear" w:color="auto" w:fill="auto"/>
            <w:vAlign w:val="center"/>
          </w:tcPr>
          <w:p w14:paraId="028B0553" w14:textId="77777777" w:rsidR="00332FF3" w:rsidRPr="00115A8C" w:rsidRDefault="00332FF3" w:rsidP="00E85F56">
            <w:pPr>
              <w:jc w:val="center"/>
              <w:rPr>
                <w:rFonts w:eastAsia="Calibri"/>
                <w:sz w:val="20"/>
              </w:rPr>
            </w:pPr>
            <w:r w:rsidRPr="00115A8C">
              <w:rPr>
                <w:rFonts w:eastAsia="Calibri"/>
                <w:sz w:val="20"/>
              </w:rPr>
              <w:t>Source endpoint ID length</w:t>
            </w:r>
          </w:p>
        </w:tc>
      </w:tr>
      <w:tr w:rsidR="00332FF3" w:rsidRPr="001B79CE" w14:paraId="39A27D35" w14:textId="77777777" w:rsidTr="00E85F56">
        <w:trPr>
          <w:jc w:val="center"/>
        </w:trPr>
        <w:tc>
          <w:tcPr>
            <w:tcW w:w="5400" w:type="dxa"/>
            <w:gridSpan w:val="2"/>
            <w:shd w:val="clear" w:color="auto" w:fill="auto"/>
            <w:vAlign w:val="center"/>
          </w:tcPr>
          <w:p w14:paraId="0A174443" w14:textId="77777777" w:rsidR="00332FF3" w:rsidRPr="00115A8C" w:rsidRDefault="00332FF3" w:rsidP="00E85F56">
            <w:pPr>
              <w:jc w:val="center"/>
              <w:rPr>
                <w:rFonts w:eastAsia="Calibri"/>
                <w:sz w:val="20"/>
              </w:rPr>
            </w:pPr>
            <w:r w:rsidRPr="00115A8C">
              <w:rPr>
                <w:rFonts w:eastAsia="Calibri"/>
                <w:sz w:val="20"/>
              </w:rPr>
              <w:t>Source endpoint ID</w:t>
            </w:r>
          </w:p>
        </w:tc>
      </w:tr>
      <w:tr w:rsidR="00332FF3" w:rsidRPr="001B79CE" w14:paraId="7E251659" w14:textId="77777777" w:rsidTr="00E85F56">
        <w:trPr>
          <w:jc w:val="center"/>
        </w:trPr>
        <w:tc>
          <w:tcPr>
            <w:tcW w:w="5400" w:type="dxa"/>
            <w:gridSpan w:val="2"/>
            <w:shd w:val="clear" w:color="auto" w:fill="auto"/>
            <w:vAlign w:val="center"/>
          </w:tcPr>
          <w:p w14:paraId="29AA1CF1" w14:textId="77777777" w:rsidR="00332FF3" w:rsidRPr="00115A8C" w:rsidRDefault="00332FF3" w:rsidP="00E85F56">
            <w:pPr>
              <w:jc w:val="center"/>
              <w:rPr>
                <w:rFonts w:eastAsia="Calibri"/>
                <w:sz w:val="20"/>
              </w:rPr>
            </w:pPr>
            <w:r w:rsidRPr="00115A8C">
              <w:rPr>
                <w:rFonts w:eastAsia="Calibri"/>
                <w:sz w:val="20"/>
              </w:rPr>
              <w:lastRenderedPageBreak/>
              <w:t>Report-to endpoint ID length</w:t>
            </w:r>
          </w:p>
        </w:tc>
      </w:tr>
      <w:tr w:rsidR="00332FF3" w:rsidRPr="001B79CE" w14:paraId="33DE316A" w14:textId="77777777" w:rsidTr="00E85F56">
        <w:trPr>
          <w:jc w:val="center"/>
        </w:trPr>
        <w:tc>
          <w:tcPr>
            <w:tcW w:w="5400" w:type="dxa"/>
            <w:gridSpan w:val="2"/>
            <w:shd w:val="clear" w:color="auto" w:fill="auto"/>
            <w:vAlign w:val="center"/>
          </w:tcPr>
          <w:p w14:paraId="6FD75B80" w14:textId="77777777" w:rsidR="00332FF3" w:rsidRPr="00115A8C" w:rsidRDefault="00332FF3" w:rsidP="00E85F56">
            <w:pPr>
              <w:jc w:val="center"/>
              <w:rPr>
                <w:rFonts w:eastAsia="Calibri"/>
                <w:sz w:val="20"/>
              </w:rPr>
            </w:pPr>
            <w:r w:rsidRPr="00115A8C">
              <w:rPr>
                <w:rFonts w:eastAsia="Calibri"/>
                <w:sz w:val="20"/>
              </w:rPr>
              <w:t>Report-to endpoint ID</w:t>
            </w:r>
          </w:p>
        </w:tc>
      </w:tr>
      <w:tr w:rsidR="00332FF3" w:rsidRPr="001B79CE" w14:paraId="0B13ED02" w14:textId="77777777" w:rsidTr="00E85F56">
        <w:trPr>
          <w:jc w:val="center"/>
        </w:trPr>
        <w:tc>
          <w:tcPr>
            <w:tcW w:w="5400" w:type="dxa"/>
            <w:gridSpan w:val="2"/>
            <w:shd w:val="clear" w:color="auto" w:fill="auto"/>
            <w:vAlign w:val="center"/>
          </w:tcPr>
          <w:p w14:paraId="6E1A8958" w14:textId="77777777" w:rsidR="00332FF3" w:rsidRPr="00115A8C" w:rsidRDefault="00332FF3" w:rsidP="00E85F56">
            <w:pPr>
              <w:jc w:val="center"/>
              <w:rPr>
                <w:rFonts w:eastAsia="Calibri"/>
                <w:sz w:val="20"/>
              </w:rPr>
            </w:pPr>
            <w:r w:rsidRPr="00115A8C">
              <w:rPr>
                <w:rFonts w:eastAsia="Calibri"/>
                <w:sz w:val="20"/>
              </w:rPr>
              <w:t>Creation Timestamp (2 x SDNV)</w:t>
            </w:r>
          </w:p>
        </w:tc>
      </w:tr>
      <w:tr w:rsidR="00332FF3" w:rsidRPr="001B79CE" w14:paraId="18603215" w14:textId="77777777" w:rsidTr="00E85F56">
        <w:trPr>
          <w:jc w:val="center"/>
        </w:trPr>
        <w:tc>
          <w:tcPr>
            <w:tcW w:w="5400" w:type="dxa"/>
            <w:gridSpan w:val="2"/>
            <w:shd w:val="clear" w:color="auto" w:fill="auto"/>
            <w:vAlign w:val="center"/>
          </w:tcPr>
          <w:p w14:paraId="167818E8" w14:textId="77777777" w:rsidR="00332FF3" w:rsidRPr="00115A8C" w:rsidRDefault="00332FF3" w:rsidP="00E85F56">
            <w:pPr>
              <w:jc w:val="center"/>
              <w:rPr>
                <w:rFonts w:eastAsia="Calibri"/>
                <w:sz w:val="20"/>
              </w:rPr>
            </w:pPr>
            <w:r w:rsidRPr="00115A8C">
              <w:rPr>
                <w:rFonts w:eastAsia="Calibri"/>
                <w:sz w:val="20"/>
              </w:rPr>
              <w:t>Lifetime</w:t>
            </w:r>
          </w:p>
        </w:tc>
      </w:tr>
    </w:tbl>
    <w:p w14:paraId="3D6E1324" w14:textId="4A616BD9" w:rsidR="00332FF3" w:rsidRPr="001B79CE" w:rsidRDefault="00332FF3" w:rsidP="00332FF3">
      <w:pPr>
        <w:pStyle w:val="FigureTitle"/>
      </w:pPr>
      <w:bookmarkStart w:id="147" w:name="_Toc39247071"/>
      <w:r w:rsidRPr="001B79CE">
        <w:t xml:space="preserve">Figure </w:t>
      </w:r>
      <w:bookmarkStart w:id="148" w:name="F_401TheCanonicalFormofthePrimaryBundleB"/>
      <w:r w:rsidR="005B6218">
        <w:fldChar w:fldCharType="begin"/>
      </w:r>
      <w:r w:rsidR="005B6218">
        <w:instrText xml:space="preserve"> STYLEREF 1 \s </w:instrText>
      </w:r>
      <w:r w:rsidR="005B6218">
        <w:fldChar w:fldCharType="separate"/>
      </w:r>
      <w:r w:rsidR="005B6218">
        <w:rPr>
          <w:noProof/>
        </w:rPr>
        <w:t>4</w:t>
      </w:r>
      <w:r w:rsidR="005B6218">
        <w:fldChar w:fldCharType="end"/>
      </w:r>
      <w:r w:rsidR="005B6218">
        <w:noBreakHyphen/>
      </w:r>
      <w:r w:rsidR="00326C41">
        <w:fldChar w:fldCharType="begin"/>
      </w:r>
      <w:r w:rsidR="00326C41">
        <w:instrText xml:space="preserve"> SEQ Figure \* ARABIC \s 1 </w:instrText>
      </w:r>
      <w:r w:rsidR="00326C41">
        <w:fldChar w:fldCharType="separate"/>
      </w:r>
      <w:r w:rsidR="005B6218">
        <w:rPr>
          <w:noProof/>
        </w:rPr>
        <w:t>3</w:t>
      </w:r>
      <w:r w:rsidR="00326C41">
        <w:rPr>
          <w:noProof/>
        </w:rPr>
        <w:fldChar w:fldCharType="end"/>
      </w:r>
      <w:bookmarkEnd w:id="148"/>
      <w:r w:rsidRPr="001B79CE">
        <w:fldChar w:fldCharType="begin"/>
      </w:r>
      <w:r w:rsidRPr="001B79CE">
        <w:instrText xml:space="preserve"> TC \f G "</w:instrText>
      </w:r>
      <w:fldSimple w:instr=" STYLEREF &quot;Heading 1&quot;\l \n \t \* MERGEFORMAT ">
        <w:bookmarkStart w:id="149" w:name="_Toc39189132"/>
        <w:r w:rsidR="000969EC">
          <w:rPr>
            <w:noProof/>
          </w:rPr>
          <w:instrText>4</w:instrText>
        </w:r>
      </w:fldSimple>
      <w:r w:rsidRPr="001B79CE">
        <w:instrText>-</w:instrText>
      </w:r>
      <w:fldSimple w:instr=" SEQ Figure_TOC \s 1 \* MERGEFORMAT ">
        <w:r w:rsidR="000969EC">
          <w:rPr>
            <w:noProof/>
          </w:rPr>
          <w:instrText>3</w:instrText>
        </w:r>
      </w:fldSimple>
      <w:r w:rsidRPr="001B79CE">
        <w:tab/>
        <w:instrText>The Canonical Form of the Primary Bundle Block</w:instrText>
      </w:r>
      <w:bookmarkEnd w:id="149"/>
      <w:r w:rsidRPr="001B79CE">
        <w:instrText>"</w:instrText>
      </w:r>
      <w:r w:rsidRPr="001B79CE">
        <w:fldChar w:fldCharType="end"/>
      </w:r>
      <w:r w:rsidRPr="001B79CE">
        <w:t>:  The Canonical Form of the Primary Bundle Block</w:t>
      </w:r>
      <w:bookmarkEnd w:id="147"/>
    </w:p>
    <w:p w14:paraId="42E118CE" w14:textId="1673441E" w:rsidR="00332FF3" w:rsidRPr="00D1511D" w:rsidRDefault="00332FF3" w:rsidP="00D1511D">
      <w:pPr>
        <w:pStyle w:val="Notelevel1"/>
      </w:pPr>
      <w:r w:rsidRPr="00D1511D">
        <w:t>The values in the canonical form of the primary block are as follows.</w:t>
      </w:r>
    </w:p>
    <w:p w14:paraId="508170AD" w14:textId="309E96EF" w:rsidR="00332FF3" w:rsidRDefault="00332FF3" w:rsidP="006E5A65">
      <w:pPr>
        <w:pStyle w:val="Paragraph5"/>
      </w:pPr>
      <w:r w:rsidRPr="00115A8C">
        <w:t xml:space="preserve">The </w:t>
      </w:r>
      <w:r w:rsidR="00886872">
        <w:t>V</w:t>
      </w:r>
      <w:r w:rsidRPr="00115A8C">
        <w:t xml:space="preserve">ersion value shall be </w:t>
      </w:r>
      <w:r w:rsidR="00B65BE0">
        <w:t>a</w:t>
      </w:r>
      <w:r w:rsidRPr="00115A8C">
        <w:t xml:space="preserve"> single-byte value</w:t>
      </w:r>
      <w:r w:rsidR="00B65BE0">
        <w:t xml:space="preserve"> identifying the version of the bundle.</w:t>
      </w:r>
    </w:p>
    <w:p w14:paraId="29AC3D00" w14:textId="40BBD28A" w:rsidR="00B65BE0" w:rsidRPr="00115A8C" w:rsidRDefault="00B65BE0" w:rsidP="00465D15">
      <w:pPr>
        <w:pStyle w:val="Paragraph5"/>
        <w:numPr>
          <w:ilvl w:val="0"/>
          <w:numId w:val="0"/>
        </w:numPr>
        <w:tabs>
          <w:tab w:val="clear" w:pos="1080"/>
          <w:tab w:val="left" w:pos="810"/>
        </w:tabs>
        <w:ind w:left="1080" w:hanging="1080"/>
      </w:pPr>
      <w:r>
        <w:t>NOTE</w:t>
      </w:r>
      <w:r w:rsidR="00E9510C">
        <w:tab/>
      </w:r>
      <w:r>
        <w:t xml:space="preserve"> </w:t>
      </w:r>
      <w:proofErr w:type="gramStart"/>
      <w:r>
        <w:t xml:space="preserve">– </w:t>
      </w:r>
      <w:r w:rsidR="00E9510C">
        <w:t xml:space="preserve"> </w:t>
      </w:r>
      <w:r>
        <w:t>The</w:t>
      </w:r>
      <w:proofErr w:type="gramEnd"/>
      <w:r>
        <w:t xml:space="preserve"> SBSP is o</w:t>
      </w:r>
      <w:r w:rsidR="00B5271A">
        <w:t>nly designed to be used with BP version 6.</w:t>
      </w:r>
    </w:p>
    <w:p w14:paraId="10CC6E86" w14:textId="4F112F1B" w:rsidR="00332FF3" w:rsidRPr="00115A8C" w:rsidRDefault="00332FF3" w:rsidP="006E5A65">
      <w:pPr>
        <w:pStyle w:val="Paragraph5"/>
      </w:pPr>
      <w:r w:rsidRPr="00115A8C">
        <w:t xml:space="preserve">The </w:t>
      </w:r>
      <w:r w:rsidR="00886872">
        <w:t>P</w:t>
      </w:r>
      <w:r w:rsidRPr="00115A8C">
        <w:t xml:space="preserve">rocessing flags value in the primary block shall be an SDNV that includes the Class </w:t>
      </w:r>
      <w:proofErr w:type="gramStart"/>
      <w:r w:rsidRPr="00115A8C">
        <w:t>Of</w:t>
      </w:r>
      <w:proofErr w:type="gramEnd"/>
      <w:r w:rsidRPr="00115A8C">
        <w:t xml:space="preserve"> Service (COS) and Status Report Request (SRR) fields. For purposes of canonicalization, the unpacked SDNV shall be </w:t>
      </w:r>
      <w:proofErr w:type="spellStart"/>
      <w:r w:rsidRPr="00115A8C">
        <w:t>ANDed</w:t>
      </w:r>
      <w:proofErr w:type="spellEnd"/>
      <w:r w:rsidRPr="00115A8C">
        <w:t xml:space="preserve"> with mask 0x0000 0000 0007 C1BE.</w:t>
      </w:r>
    </w:p>
    <w:p w14:paraId="0DB8BDB6" w14:textId="6149084E" w:rsidR="00332FF3" w:rsidRPr="00115A8C" w:rsidRDefault="00332FF3" w:rsidP="005458D6">
      <w:pPr>
        <w:pStyle w:val="Noteslevel1"/>
        <w:tabs>
          <w:tab w:val="left" w:pos="810"/>
        </w:tabs>
        <w:ind w:left="1080" w:hanging="1080"/>
      </w:pPr>
      <w:r w:rsidRPr="00115A8C">
        <w:t>NOTE</w:t>
      </w:r>
      <w:r w:rsidR="00D1511D" w:rsidRPr="00115A8C">
        <w:tab/>
      </w:r>
      <w:r w:rsidRPr="00115A8C">
        <w:t>–</w:t>
      </w:r>
      <w:r w:rsidR="00D1511D" w:rsidRPr="00115A8C">
        <w:tab/>
      </w:r>
      <w:r w:rsidRPr="00115A8C">
        <w:t>The mask above sets all reserved bits and the ‘bundle is a fragment’ bit</w:t>
      </w:r>
      <w:r w:rsidR="00212555">
        <w:t xml:space="preserve"> to zero</w:t>
      </w:r>
      <w:r w:rsidRPr="00115A8C">
        <w:t>.</w:t>
      </w:r>
    </w:p>
    <w:p w14:paraId="035296FC" w14:textId="49D08EF2" w:rsidR="00332FF3" w:rsidRPr="00115A8C" w:rsidRDefault="00332FF3" w:rsidP="006E5A65">
      <w:pPr>
        <w:pStyle w:val="Paragraph5"/>
      </w:pPr>
      <w:r w:rsidRPr="00115A8C">
        <w:t xml:space="preserve">The </w:t>
      </w:r>
      <w:r w:rsidR="00886872">
        <w:t>C</w:t>
      </w:r>
      <w:r w:rsidRPr="00115A8C">
        <w:t>anonical primary block length value shall be a four-byte value containing the length (in bytes) of this structure, in network byte order.</w:t>
      </w:r>
    </w:p>
    <w:p w14:paraId="0EC30F58" w14:textId="4A01EC57" w:rsidR="00E450DE" w:rsidRDefault="00332FF3" w:rsidP="00E450DE">
      <w:pPr>
        <w:pStyle w:val="Paragraph5"/>
      </w:pPr>
      <w:r w:rsidRPr="00115A8C">
        <w:t xml:space="preserve">The </w:t>
      </w:r>
      <w:r w:rsidR="00465176">
        <w:t>D</w:t>
      </w:r>
      <w:r w:rsidRPr="00115A8C">
        <w:t>estination endpoint ID length shall be the length (represented as a four-byte value in network byte order) from the primary bundle block.</w:t>
      </w:r>
    </w:p>
    <w:p w14:paraId="2707955A" w14:textId="23CA925F" w:rsidR="007B128B" w:rsidRPr="00115A8C" w:rsidRDefault="00D4341D" w:rsidP="00465D15">
      <w:pPr>
        <w:pStyle w:val="Paragraph5"/>
      </w:pPr>
      <w:r>
        <w:t xml:space="preserve">The destination endpoint ID value shall be </w:t>
      </w:r>
      <w:r w:rsidR="00AE52FD">
        <w:t xml:space="preserve">a </w:t>
      </w:r>
      <w:r w:rsidR="00465176">
        <w:t>canonic</w:t>
      </w:r>
      <w:r w:rsidR="00971D7B">
        <w:t>a</w:t>
      </w:r>
      <w:r w:rsidR="00465176">
        <w:t>lized EID</w:t>
      </w:r>
      <w:r>
        <w:t xml:space="preserve">. </w:t>
      </w:r>
    </w:p>
    <w:p w14:paraId="6C54979C" w14:textId="09EA4979" w:rsidR="00984E2E" w:rsidRDefault="00332FF3" w:rsidP="006E5A65">
      <w:pPr>
        <w:pStyle w:val="Paragraph5"/>
      </w:pPr>
      <w:r w:rsidRPr="00115A8C">
        <w:t xml:space="preserve">The source endpoint ID </w:t>
      </w:r>
      <w:proofErr w:type="gramStart"/>
      <w:r w:rsidRPr="00115A8C">
        <w:t xml:space="preserve">length </w:t>
      </w:r>
      <w:r w:rsidR="00984E2E" w:rsidRPr="00984E2E">
        <w:t xml:space="preserve"> </w:t>
      </w:r>
      <w:r w:rsidR="00984E2E" w:rsidRPr="00115A8C">
        <w:t>shall</w:t>
      </w:r>
      <w:proofErr w:type="gramEnd"/>
      <w:r w:rsidR="00984E2E" w:rsidRPr="00115A8C">
        <w:t xml:space="preserve"> be the length (represented as a four-byte value in network byte order) from the primary bundle block.</w:t>
      </w:r>
    </w:p>
    <w:p w14:paraId="579679F6" w14:textId="15E36FF5" w:rsidR="000915A1" w:rsidRPr="00115A8C" w:rsidRDefault="000915A1" w:rsidP="006E5A65">
      <w:pPr>
        <w:pStyle w:val="Paragraph5"/>
      </w:pPr>
      <w:r>
        <w:t xml:space="preserve">The source endpoint ID value shall be </w:t>
      </w:r>
      <w:r w:rsidR="00AE52FD">
        <w:t xml:space="preserve">a </w:t>
      </w:r>
      <w:r>
        <w:t>canonicalized EID.</w:t>
      </w:r>
    </w:p>
    <w:p w14:paraId="06D58005" w14:textId="7D51209A" w:rsidR="00ED33DB" w:rsidRDefault="00332FF3" w:rsidP="006E5A65">
      <w:pPr>
        <w:pStyle w:val="Paragraph5"/>
      </w:pPr>
      <w:r w:rsidRPr="00115A8C">
        <w:t xml:space="preserve">The report-to endpoint ID length </w:t>
      </w:r>
      <w:r w:rsidR="00984E2E" w:rsidRPr="00115A8C">
        <w:t>shall be the length (represented as a four-byte value in network byte order) from the primary bundle block.</w:t>
      </w:r>
    </w:p>
    <w:p w14:paraId="241A95A9" w14:textId="2EADCE44" w:rsidR="00332FF3" w:rsidRDefault="00ED33DB" w:rsidP="006E5A65">
      <w:pPr>
        <w:pStyle w:val="Paragraph5"/>
      </w:pPr>
      <w:r>
        <w:t xml:space="preserve">The report-to endpoint ID value shall be </w:t>
      </w:r>
      <w:r w:rsidR="00AE52FD">
        <w:t xml:space="preserve">a </w:t>
      </w:r>
      <w:r>
        <w:t xml:space="preserve">canonicalized EID. </w:t>
      </w:r>
    </w:p>
    <w:p w14:paraId="227EFB51" w14:textId="06208D44" w:rsidR="00075718" w:rsidRDefault="00075718" w:rsidP="006E5A65">
      <w:pPr>
        <w:pStyle w:val="Paragraph5"/>
      </w:pPr>
      <w:r>
        <w:t>The creation timestamp shall be copied from the primary block, composed of an SDNV representing a DTN time and an SDNV for the creation time’s sequence number.</w:t>
      </w:r>
    </w:p>
    <w:p w14:paraId="2AEC3F8D" w14:textId="5CCEDA19" w:rsidR="00332FF3" w:rsidRPr="00115A8C" w:rsidRDefault="00332FF3" w:rsidP="006E5A65">
      <w:pPr>
        <w:pStyle w:val="Paragraph5"/>
      </w:pPr>
      <w:r w:rsidRPr="00115A8C">
        <w:t>The lifetime shall be copied from the primary block</w:t>
      </w:r>
      <w:r w:rsidR="00930D2B">
        <w:t xml:space="preserve"> as an unpacked SDNV</w:t>
      </w:r>
      <w:r w:rsidRPr="00115A8C">
        <w:t>.</w:t>
      </w:r>
    </w:p>
    <w:p w14:paraId="444EBED1" w14:textId="77777777" w:rsidR="00332FF3" w:rsidRPr="00115A8C" w:rsidRDefault="00332FF3" w:rsidP="006E5A65">
      <w:pPr>
        <w:pStyle w:val="Paragraph5"/>
      </w:pPr>
      <w:r w:rsidRPr="00115A8C">
        <w:t>The fragment offset and total application data unit lengths shall be ignored during canonicalization.</w:t>
      </w:r>
    </w:p>
    <w:p w14:paraId="3D0908BC" w14:textId="49D6CFA9" w:rsidR="00AC79A5" w:rsidRDefault="00AC79A5" w:rsidP="00465D15">
      <w:pPr>
        <w:pStyle w:val="Heading4"/>
      </w:pPr>
      <w:r>
        <w:lastRenderedPageBreak/>
        <w:t>The Payload Block</w:t>
      </w:r>
    </w:p>
    <w:p w14:paraId="1E1138E4" w14:textId="49A9DC4D" w:rsidR="00332FF3" w:rsidRPr="00115A8C" w:rsidRDefault="00AC79A5" w:rsidP="00465D15">
      <w:pPr>
        <w:pStyle w:val="Paragraph4"/>
        <w:numPr>
          <w:ilvl w:val="0"/>
          <w:numId w:val="0"/>
        </w:numPr>
      </w:pPr>
      <w:r>
        <w:t>W</w:t>
      </w:r>
      <w:r w:rsidR="00332FF3" w:rsidRPr="00115A8C">
        <w:t xml:space="preserve">hen </w:t>
      </w:r>
      <w:proofErr w:type="spellStart"/>
      <w:r w:rsidR="00332FF3" w:rsidRPr="00115A8C">
        <w:t>canonicalizing</w:t>
      </w:r>
      <w:proofErr w:type="spellEnd"/>
      <w:r w:rsidR="00332FF3" w:rsidRPr="00115A8C">
        <w:t xml:space="preserve"> the payload block, the block processing control flags value used for canonicalization shall be the unpacked SDNV value with reserved and mutable bits masked to zero. The unpacked value shall be </w:t>
      </w:r>
      <w:proofErr w:type="spellStart"/>
      <w:r w:rsidR="00332FF3" w:rsidRPr="00115A8C">
        <w:t>ANDed</w:t>
      </w:r>
      <w:proofErr w:type="spellEnd"/>
      <w:r w:rsidR="00332FF3" w:rsidRPr="00115A8C">
        <w:t xml:space="preserve"> with mask 0x0000 0000 0000 0077.</w:t>
      </w:r>
    </w:p>
    <w:p w14:paraId="15C04DD6" w14:textId="77777777" w:rsidR="00332FF3" w:rsidRPr="00115A8C" w:rsidRDefault="00332FF3" w:rsidP="00332FF3">
      <w:pPr>
        <w:pStyle w:val="Notelevel1"/>
      </w:pPr>
      <w:r w:rsidRPr="00115A8C">
        <w:t>NOTE</w:t>
      </w:r>
      <w:r w:rsidRPr="00115A8C">
        <w:tab/>
        <w:t>–</w:t>
      </w:r>
      <w:r w:rsidRPr="00115A8C">
        <w:tab/>
        <w:t>The mask above sets to zero the reserved bits and the ‘last block’ bit.</w:t>
      </w:r>
    </w:p>
    <w:p w14:paraId="0D76B767" w14:textId="50E96E52" w:rsidR="00332FF3" w:rsidRPr="00115A8C" w:rsidRDefault="00FF18AC" w:rsidP="006E5A65">
      <w:pPr>
        <w:pStyle w:val="Paragraph5"/>
      </w:pPr>
      <w:r>
        <w:t xml:space="preserve">A </w:t>
      </w:r>
      <w:r w:rsidR="00332FF3" w:rsidRPr="00115A8C">
        <w:t>Payload block shall be canonicalized as-is</w:t>
      </w:r>
      <w:r w:rsidR="00F66C2C">
        <w:t>,</w:t>
      </w:r>
      <w:r w:rsidR="00332FF3" w:rsidRPr="00115A8C">
        <w:t xml:space="preserve"> except where only a portion of the payload data is to be protected</w:t>
      </w:r>
      <w:r w:rsidR="00DA4427">
        <w:t xml:space="preserve"> by a security operation</w:t>
      </w:r>
      <w:r w:rsidR="00332FF3" w:rsidRPr="00115A8C">
        <w:t>.</w:t>
      </w:r>
    </w:p>
    <w:p w14:paraId="1E66A7C9" w14:textId="38322D0E" w:rsidR="00332FF3" w:rsidRPr="00115A8C" w:rsidRDefault="00332FF3" w:rsidP="006E5A65">
      <w:pPr>
        <w:pStyle w:val="Paragraph5"/>
      </w:pPr>
      <w:r w:rsidRPr="00115A8C">
        <w:t xml:space="preserve">If only a portion of the payload </w:t>
      </w:r>
      <w:r w:rsidR="00930D2B">
        <w:t xml:space="preserve">block data </w:t>
      </w:r>
      <w:r w:rsidRPr="00115A8C">
        <w:t>is</w:t>
      </w:r>
      <w:r w:rsidR="00930D2B">
        <w:t xml:space="preserve"> </w:t>
      </w:r>
      <w:r w:rsidR="00FF18AC">
        <w:t>protected</w:t>
      </w:r>
      <w:r w:rsidRPr="00115A8C">
        <w:t xml:space="preserve"> by the security operation, only those bytes of the payload that are </w:t>
      </w:r>
      <w:r w:rsidR="00FF18AC">
        <w:t>protected</w:t>
      </w:r>
      <w:r w:rsidR="006D621D" w:rsidRPr="00115A8C">
        <w:t xml:space="preserve"> </w:t>
      </w:r>
      <w:r w:rsidRPr="00115A8C">
        <w:t>shall be included in the canonical form.</w:t>
      </w:r>
    </w:p>
    <w:p w14:paraId="633F9ACA" w14:textId="20689E27" w:rsidR="00332FF3" w:rsidRPr="00115A8C" w:rsidRDefault="00332FF3" w:rsidP="00332FF3">
      <w:pPr>
        <w:pStyle w:val="Notelevel1"/>
      </w:pPr>
      <w:r w:rsidRPr="00115A8C">
        <w:t>NOTE</w:t>
      </w:r>
      <w:r w:rsidRPr="00115A8C">
        <w:tab/>
        <w:t>–</w:t>
      </w:r>
      <w:r w:rsidRPr="00115A8C">
        <w:tab/>
        <w:t xml:space="preserve">In this case, additional </w:t>
      </w:r>
      <w:r w:rsidR="006D25F3">
        <w:t>security context</w:t>
      </w:r>
      <w:r w:rsidRPr="00115A8C">
        <w:t xml:space="preserve"> parameters</w:t>
      </w:r>
      <w:r w:rsidR="00EE135A">
        <w:t xml:space="preserve"> </w:t>
      </w:r>
      <w:r w:rsidRPr="00115A8C">
        <w:t>are required to specify which part of the payload is protected</w:t>
      </w:r>
      <w:r w:rsidR="00EE135A">
        <w:t xml:space="preserve">. </w:t>
      </w:r>
    </w:p>
    <w:p w14:paraId="7D10089F" w14:textId="5FA085FA" w:rsidR="00E81239" w:rsidRDefault="00E81239" w:rsidP="00465D15">
      <w:pPr>
        <w:pStyle w:val="Heading4"/>
      </w:pPr>
      <w:r>
        <w:t>Extension Blocks</w:t>
      </w:r>
    </w:p>
    <w:p w14:paraId="1A22303F" w14:textId="37C4341D" w:rsidR="00332FF3" w:rsidRPr="00115A8C" w:rsidRDefault="00332FF3" w:rsidP="00465D15">
      <w:pPr>
        <w:pStyle w:val="Paragraph4"/>
        <w:numPr>
          <w:ilvl w:val="0"/>
          <w:numId w:val="0"/>
        </w:numPr>
      </w:pPr>
      <w:r w:rsidRPr="00115A8C">
        <w:t xml:space="preserve">When </w:t>
      </w:r>
      <w:proofErr w:type="spellStart"/>
      <w:r w:rsidRPr="00115A8C">
        <w:t>canonicalizing</w:t>
      </w:r>
      <w:proofErr w:type="spellEnd"/>
      <w:r w:rsidRPr="00115A8C">
        <w:t xml:space="preserve"> an extension block, the block processing control flags value used for canonicalization shall be the unpacked SDNV value with reserved and mutable bits masked to zero. The unpacked value shall be </w:t>
      </w:r>
      <w:proofErr w:type="spellStart"/>
      <w:r w:rsidRPr="00115A8C">
        <w:t>ANDed</w:t>
      </w:r>
      <w:proofErr w:type="spellEnd"/>
      <w:r w:rsidRPr="00115A8C">
        <w:t xml:space="preserve"> with mask 0x0000 0000 0000 0057.</w:t>
      </w:r>
    </w:p>
    <w:p w14:paraId="2CA193D7" w14:textId="77777777" w:rsidR="00332FF3" w:rsidRPr="00115A8C" w:rsidRDefault="00332FF3" w:rsidP="00332FF3">
      <w:pPr>
        <w:pStyle w:val="Notelevel1"/>
      </w:pPr>
      <w:r w:rsidRPr="00115A8C">
        <w:t>NOTE</w:t>
      </w:r>
      <w:r w:rsidRPr="00115A8C">
        <w:tab/>
        <w:t>–</w:t>
      </w:r>
      <w:r w:rsidRPr="00115A8C">
        <w:tab/>
        <w:t>The mask above sets to zero the reserved bits, the ‘last block’ flag, and the ‘Block was forwarded without being processed’ bit.</w:t>
      </w:r>
    </w:p>
    <w:p w14:paraId="4DB1665D" w14:textId="77777777" w:rsidR="00332FF3" w:rsidRPr="005458D6" w:rsidRDefault="00332FF3" w:rsidP="006E5A65">
      <w:pPr>
        <w:pStyle w:val="Paragraph5"/>
      </w:pPr>
      <w:r w:rsidRPr="00644A25">
        <w:t>T</w:t>
      </w:r>
      <w:r w:rsidRPr="00D1511D">
        <w:t>he ‘Block was forwarded without being processed’ flag shall be ignored during canonicalization.</w:t>
      </w:r>
    </w:p>
    <w:p w14:paraId="29B0CDA9" w14:textId="688805A6" w:rsidR="00332FF3" w:rsidRDefault="00332FF3" w:rsidP="00332FF3">
      <w:pPr>
        <w:pStyle w:val="Notelevel1"/>
      </w:pPr>
      <w:r w:rsidRPr="001B79CE">
        <w:t>NOTE</w:t>
      </w:r>
      <w:r w:rsidRPr="001B79CE">
        <w:tab/>
        <w:t>–</w:t>
      </w:r>
      <w:r w:rsidRPr="001B79CE">
        <w:tab/>
        <w:t xml:space="preserve">This flag is ignored because the bundle may pass through nodes that do not understand that extension block; this would </w:t>
      </w:r>
      <w:r w:rsidR="00AA70FB">
        <w:t>cause the</w:t>
      </w:r>
      <w:r w:rsidRPr="001B79CE">
        <w:t xml:space="preserve"> flag</w:t>
      </w:r>
      <w:r w:rsidR="00AA70FB">
        <w:t xml:space="preserve"> to be set</w:t>
      </w:r>
      <w:r w:rsidRPr="001B79CE">
        <w:t>.</w:t>
      </w:r>
    </w:p>
    <w:p w14:paraId="7ECE97FE" w14:textId="454D9615" w:rsidR="00332FF3" w:rsidRPr="001B79CE" w:rsidRDefault="00332FF3" w:rsidP="006E5A65">
      <w:pPr>
        <w:pStyle w:val="Paragraph5"/>
      </w:pPr>
      <w:r w:rsidRPr="001B79CE">
        <w:t>The block</w:t>
      </w:r>
      <w:r w:rsidR="00CA09A7">
        <w:t xml:space="preserve"> </w:t>
      </w:r>
      <w:r w:rsidRPr="001B79CE">
        <w:t xml:space="preserve">length shall be canonicalized as its unpacked SDNV value. If the data to be canonicalized is less than the complete, original block data, this field shall contain the size of the data being canonicalized (the </w:t>
      </w:r>
      <w:r>
        <w:t>‘</w:t>
      </w:r>
      <w:r w:rsidRPr="001B79CE">
        <w:t>effective block</w:t>
      </w:r>
      <w:r>
        <w:t>’</w:t>
      </w:r>
      <w:r w:rsidRPr="001B79CE">
        <w:t>) rather than the actual size of the block.</w:t>
      </w:r>
    </w:p>
    <w:p w14:paraId="56A9F60A" w14:textId="77777777" w:rsidR="00332FF3" w:rsidRPr="00D1511D" w:rsidRDefault="00332FF3" w:rsidP="00465D15">
      <w:pPr>
        <w:pStyle w:val="Heading4"/>
      </w:pPr>
      <w:r w:rsidRPr="00644A25">
        <w:t>D</w:t>
      </w:r>
      <w:r w:rsidRPr="00D1511D">
        <w:t>iscussion</w:t>
      </w:r>
    </w:p>
    <w:p w14:paraId="3BD958DD" w14:textId="77777777" w:rsidR="009F2082" w:rsidRDefault="009F2082" w:rsidP="00332FF3"/>
    <w:p w14:paraId="660C5192" w14:textId="4C46419F" w:rsidR="00332FF3" w:rsidRDefault="00E108F9" w:rsidP="00332FF3">
      <w:r>
        <w:t>R</w:t>
      </w:r>
      <w:r w:rsidR="00332FF3" w:rsidRPr="001B79CE">
        <w:t xml:space="preserve">eserved flags </w:t>
      </w:r>
      <w:r w:rsidR="00332FF3">
        <w:t xml:space="preserve">are omitted </w:t>
      </w:r>
      <w:r>
        <w:t xml:space="preserve">from canonicalization </w:t>
      </w:r>
      <w:r w:rsidR="00332FF3" w:rsidRPr="001B79CE">
        <w:t xml:space="preserve">because </w:t>
      </w:r>
      <w:r w:rsidR="00332FF3">
        <w:t xml:space="preserve">it </w:t>
      </w:r>
      <w:r w:rsidR="00332FF3" w:rsidRPr="001B79CE">
        <w:t xml:space="preserve">cannot </w:t>
      </w:r>
      <w:r w:rsidR="00332FF3">
        <w:t xml:space="preserve">be </w:t>
      </w:r>
      <w:r w:rsidR="00332FF3" w:rsidRPr="001B79CE">
        <w:t>determine</w:t>
      </w:r>
      <w:r w:rsidR="004C2251">
        <w:t>d</w:t>
      </w:r>
      <w:r w:rsidR="00332FF3" w:rsidRPr="001B79CE">
        <w:t xml:space="preserve"> if they will change in transit. The masks </w:t>
      </w:r>
      <w:r w:rsidR="00A82D61">
        <w:t>used to omit these flags must</w:t>
      </w:r>
      <w:r w:rsidR="00332FF3" w:rsidRPr="001B79CE">
        <w:t xml:space="preserve"> be revised if additional flags are defined and </w:t>
      </w:r>
      <w:r w:rsidR="00A82D61">
        <w:t>require protection by SBSP security services</w:t>
      </w:r>
      <w:r w:rsidR="00332FF3" w:rsidRPr="001B79CE">
        <w:t>.</w:t>
      </w:r>
    </w:p>
    <w:p w14:paraId="7DDD8E27" w14:textId="0E7AE795" w:rsidR="009F2082" w:rsidRDefault="009F2082" w:rsidP="00332FF3"/>
    <w:p w14:paraId="53841CCC" w14:textId="5EE4E10C" w:rsidR="00AB50AA" w:rsidRDefault="00AD7B33" w:rsidP="00AB50AA">
      <w:pPr>
        <w:pStyle w:val="Heading3"/>
      </w:pPr>
      <w:bookmarkStart w:id="150" w:name="_Toc350520816"/>
      <w:r>
        <w:lastRenderedPageBreak/>
        <w:t>Sending Procedures</w:t>
      </w:r>
    </w:p>
    <w:p w14:paraId="64062025" w14:textId="1ACF614C" w:rsidR="004C783C" w:rsidRPr="004C783C" w:rsidRDefault="004C783C">
      <w:pPr>
        <w:pStyle w:val="Heading4"/>
        <w:rPr>
          <w:b w:val="0"/>
        </w:rPr>
      </w:pPr>
      <w:r w:rsidRPr="00465D15">
        <w:rPr>
          <w:b w:val="0"/>
        </w:rPr>
        <w:t>A security source will a</w:t>
      </w:r>
      <w:r w:rsidR="00A26E9A">
        <w:rPr>
          <w:b w:val="0"/>
        </w:rPr>
        <w:t>pply</w:t>
      </w:r>
      <w:r w:rsidRPr="00465D15">
        <w:rPr>
          <w:b w:val="0"/>
        </w:rPr>
        <w:t xml:space="preserve"> a security </w:t>
      </w:r>
      <w:r w:rsidR="00A26E9A">
        <w:rPr>
          <w:b w:val="0"/>
        </w:rPr>
        <w:t>operation</w:t>
      </w:r>
      <w:r w:rsidR="005960C2" w:rsidRPr="00465D15">
        <w:rPr>
          <w:b w:val="0"/>
        </w:rPr>
        <w:t xml:space="preserve"> </w:t>
      </w:r>
      <w:r w:rsidRPr="00465D15">
        <w:rPr>
          <w:b w:val="0"/>
        </w:rPr>
        <w:t>to a bundle only when required by security policy.</w:t>
      </w:r>
    </w:p>
    <w:p w14:paraId="21DB597D" w14:textId="3F3B6B33" w:rsidR="0008640A" w:rsidRDefault="00AC65BF" w:rsidP="0008640A">
      <w:pPr>
        <w:pStyle w:val="Heading4"/>
        <w:rPr>
          <w:b w:val="0"/>
        </w:rPr>
      </w:pPr>
      <w:r w:rsidRPr="00465D15">
        <w:rPr>
          <w:b w:val="0"/>
        </w:rPr>
        <w:t xml:space="preserve">A security </w:t>
      </w:r>
      <w:r w:rsidR="00BC299E">
        <w:rPr>
          <w:b w:val="0"/>
        </w:rPr>
        <w:t>operatio</w:t>
      </w:r>
      <w:r w:rsidR="00962897">
        <w:rPr>
          <w:b w:val="0"/>
        </w:rPr>
        <w:t>n</w:t>
      </w:r>
      <w:r w:rsidRPr="00465D15">
        <w:rPr>
          <w:b w:val="0"/>
        </w:rPr>
        <w:t xml:space="preserve"> may </w:t>
      </w:r>
      <w:r w:rsidR="008D5E01">
        <w:rPr>
          <w:b w:val="0"/>
        </w:rPr>
        <w:t xml:space="preserve">only </w:t>
      </w:r>
      <w:r w:rsidRPr="00465D15">
        <w:rPr>
          <w:b w:val="0"/>
        </w:rPr>
        <w:t>be a</w:t>
      </w:r>
      <w:r w:rsidR="00962897">
        <w:rPr>
          <w:b w:val="0"/>
        </w:rPr>
        <w:t xml:space="preserve">pplied </w:t>
      </w:r>
      <w:r w:rsidRPr="00465D15">
        <w:rPr>
          <w:b w:val="0"/>
        </w:rPr>
        <w:t xml:space="preserve">to a bundle if </w:t>
      </w:r>
      <w:r w:rsidR="003849AA">
        <w:rPr>
          <w:b w:val="0"/>
        </w:rPr>
        <w:t xml:space="preserve">all of </w:t>
      </w:r>
      <w:r w:rsidRPr="00465D15">
        <w:rPr>
          <w:b w:val="0"/>
        </w:rPr>
        <w:t>the following conditions are met.</w:t>
      </w:r>
    </w:p>
    <w:p w14:paraId="5D3D6FB0" w14:textId="765A3AE7" w:rsidR="004F4F1C" w:rsidRDefault="00E8220B" w:rsidP="004F4F1C">
      <w:pPr>
        <w:pStyle w:val="Heading5"/>
        <w:rPr>
          <w:b w:val="0"/>
        </w:rPr>
      </w:pPr>
      <w:r>
        <w:rPr>
          <w:b w:val="0"/>
        </w:rPr>
        <w:t xml:space="preserve">The </w:t>
      </w:r>
      <w:r w:rsidR="00106A4C">
        <w:rPr>
          <w:b w:val="0"/>
        </w:rPr>
        <w:t>node in possession of the bundle</w:t>
      </w:r>
      <w:r>
        <w:rPr>
          <w:b w:val="0"/>
        </w:rPr>
        <w:t xml:space="preserve"> </w:t>
      </w:r>
      <w:r w:rsidR="00F864B1">
        <w:rPr>
          <w:b w:val="0"/>
        </w:rPr>
        <w:t>must be</w:t>
      </w:r>
      <w:r>
        <w:rPr>
          <w:b w:val="0"/>
        </w:rPr>
        <w:t xml:space="preserve"> identified by policy as the security source for the operation.</w:t>
      </w:r>
      <w:r w:rsidR="00524439">
        <w:rPr>
          <w:b w:val="0"/>
        </w:rPr>
        <w:t xml:space="preserve"> </w:t>
      </w:r>
    </w:p>
    <w:p w14:paraId="5EBA63BC" w14:textId="266B4556" w:rsidR="008A69D8" w:rsidRPr="00427A3E" w:rsidRDefault="002B673A" w:rsidP="00465D15">
      <w:pPr>
        <w:pStyle w:val="Heading6"/>
      </w:pPr>
      <w:r>
        <w:rPr>
          <w:b w:val="0"/>
        </w:rPr>
        <w:t>The</w:t>
      </w:r>
      <w:r w:rsidR="007D78FC" w:rsidRPr="00465D15">
        <w:rPr>
          <w:b w:val="0"/>
        </w:rPr>
        <w:t xml:space="preserve"> security source must be the node which adds the target block of the security operation to the bundle.</w:t>
      </w:r>
    </w:p>
    <w:p w14:paraId="6F61D3C5" w14:textId="0771C3F6" w:rsidR="008A69D8" w:rsidRPr="00427A3E" w:rsidRDefault="00D73677" w:rsidP="00465D15">
      <w:pPr>
        <w:pStyle w:val="Heading6"/>
      </w:pPr>
      <w:r w:rsidRPr="00465D15">
        <w:rPr>
          <w:b w:val="0"/>
        </w:rPr>
        <w:t xml:space="preserve">The security source for the payload block and primary block must be the bundle source. </w:t>
      </w:r>
    </w:p>
    <w:p w14:paraId="06FDF1C2" w14:textId="305EB678" w:rsidR="00AC65BF" w:rsidRDefault="00AC65BF" w:rsidP="00D251D1">
      <w:r w:rsidRPr="004F4F1C">
        <w:tab/>
      </w:r>
    </w:p>
    <w:p w14:paraId="12432A84" w14:textId="4A871C89" w:rsidR="000D4842" w:rsidRDefault="00F8131B" w:rsidP="00FC3686">
      <w:r>
        <w:t>NOTE</w:t>
      </w:r>
      <w:r w:rsidR="000D4842">
        <w:t>S</w:t>
      </w:r>
    </w:p>
    <w:p w14:paraId="3C5E8704" w14:textId="116E76BA" w:rsidR="000D3277" w:rsidRDefault="000D3277" w:rsidP="00FC3686"/>
    <w:p w14:paraId="55CD81FB" w14:textId="77D01BA8" w:rsidR="000D3277" w:rsidRDefault="000D3277" w:rsidP="00FC3686">
      <w:r>
        <w:t>1</w:t>
      </w:r>
      <w:r>
        <w:tab/>
        <w:t>The bundle source may apply either a BIB or BCB to the payload block.</w:t>
      </w:r>
      <w:r w:rsidR="00A82F38">
        <w:t xml:space="preserve"> </w:t>
      </w:r>
    </w:p>
    <w:p w14:paraId="15F4441D" w14:textId="7FBD2FC1" w:rsidR="00A82F38" w:rsidRDefault="00A82F38" w:rsidP="00FC3686"/>
    <w:p w14:paraId="2AB8146F" w14:textId="7B1F2B36" w:rsidR="00A82F38" w:rsidRDefault="00A82F38" w:rsidP="00FC3686">
      <w:r>
        <w:t>2</w:t>
      </w:r>
      <w:r>
        <w:tab/>
        <w:t>The bundle source may apply a BIB to the primary block.</w:t>
      </w:r>
    </w:p>
    <w:p w14:paraId="39ECB599" w14:textId="48FF83ED" w:rsidR="00B46D15" w:rsidRDefault="00A82F38" w:rsidP="00C818EF">
      <w:pPr>
        <w:pStyle w:val="ListParagraph"/>
        <w:numPr>
          <w:ilvl w:val="0"/>
          <w:numId w:val="9"/>
        </w:numPr>
        <w:pPrChange w:id="151" w:author="Birrane, Edward J." w:date="2020-05-01T17:51:00Z">
          <w:pPr>
            <w:pStyle w:val="ListParagraph"/>
            <w:numPr>
              <w:numId w:val="16"/>
            </w:numPr>
            <w:ind w:hanging="360"/>
          </w:pPr>
        </w:pPrChange>
      </w:pPr>
      <w:r>
        <w:t>If a BIB targeting the primary block is added at the bundle source, the primary block must not be modified after it is transmitted by the bundle source.</w:t>
      </w:r>
      <w:r w:rsidR="00B46D15">
        <w:t xml:space="preserve"> </w:t>
      </w:r>
    </w:p>
    <w:p w14:paraId="064FDD35" w14:textId="77777777" w:rsidR="00B46D15" w:rsidRDefault="00B46D15" w:rsidP="00465D15">
      <w:pPr>
        <w:pStyle w:val="ListParagraph"/>
      </w:pPr>
    </w:p>
    <w:p w14:paraId="2404C184" w14:textId="56564F42" w:rsidR="00054302" w:rsidRDefault="00640914" w:rsidP="00B46D15">
      <w:pPr>
        <w:pStyle w:val="Heading5"/>
        <w:rPr>
          <w:b w:val="0"/>
        </w:rPr>
      </w:pPr>
      <w:r w:rsidRPr="00465D15">
        <w:rPr>
          <w:b w:val="0"/>
        </w:rPr>
        <w:t xml:space="preserve">The target block of the security operation must not be the target of </w:t>
      </w:r>
      <w:r w:rsidR="00100B70" w:rsidRPr="00465D15">
        <w:rPr>
          <w:b w:val="0"/>
        </w:rPr>
        <w:t>an existing</w:t>
      </w:r>
      <w:r w:rsidRPr="00465D15">
        <w:rPr>
          <w:b w:val="0"/>
        </w:rPr>
        <w:t xml:space="preserve"> security block in the bundle. </w:t>
      </w:r>
    </w:p>
    <w:p w14:paraId="482B86B2" w14:textId="48DB2DD6" w:rsidR="004E2067" w:rsidRDefault="004E2067" w:rsidP="004E2067"/>
    <w:p w14:paraId="1B7A360C" w14:textId="20D45A3B" w:rsidR="004E2067" w:rsidRPr="004E2067" w:rsidRDefault="004E2067" w:rsidP="00394053">
      <w:pPr>
        <w:ind w:left="900" w:hanging="900"/>
      </w:pPr>
      <w:r>
        <w:t xml:space="preserve">NOTE – A BIB and BCB may not share a target block. </w:t>
      </w:r>
      <w:r w:rsidR="00034680">
        <w:t xml:space="preserve">It is recommended that a BCB is used </w:t>
      </w:r>
      <w:r w:rsidR="006933F9">
        <w:t>if</w:t>
      </w:r>
      <w:r w:rsidR="00E425D6">
        <w:t xml:space="preserve"> </w:t>
      </w:r>
      <w:r w:rsidR="00034680">
        <w:t xml:space="preserve">both integrity and </w:t>
      </w:r>
      <w:r w:rsidR="006933F9">
        <w:t>confidentiality</w:t>
      </w:r>
      <w:r w:rsidR="00034680">
        <w:t xml:space="preserve"> services are </w:t>
      </w:r>
      <w:r w:rsidR="00FA4E46">
        <w:t xml:space="preserve">desired for the same target block. </w:t>
      </w:r>
      <w:r w:rsidR="006F23DA">
        <w:t>A</w:t>
      </w:r>
      <w:r w:rsidR="00FA4E46">
        <w:t xml:space="preserve"> BCB uses an AEAD cipher to provide confidentiality, generating an integrity protection mechanism as a product of encryption. </w:t>
      </w:r>
    </w:p>
    <w:p w14:paraId="64AA3B29" w14:textId="2F24DF07" w:rsidR="00CE2657" w:rsidRPr="00427A3E" w:rsidRDefault="00806DDD" w:rsidP="00465D15">
      <w:pPr>
        <w:pStyle w:val="Heading5"/>
      </w:pPr>
      <w:r w:rsidRPr="00465D15">
        <w:rPr>
          <w:b w:val="0"/>
        </w:rPr>
        <w:t xml:space="preserve">The target block of the security operation must </w:t>
      </w:r>
      <w:r w:rsidR="00157AA8">
        <w:rPr>
          <w:b w:val="0"/>
        </w:rPr>
        <w:t>be uniquely identified by its block type</w:t>
      </w:r>
      <w:r w:rsidRPr="00465D15">
        <w:rPr>
          <w:b w:val="0"/>
        </w:rPr>
        <w:t>.</w:t>
      </w:r>
    </w:p>
    <w:p w14:paraId="49F8B20B" w14:textId="685C43CA" w:rsidR="00A5175B" w:rsidRPr="00427A3E" w:rsidRDefault="001F0105" w:rsidP="00465D15">
      <w:pPr>
        <w:pStyle w:val="Heading6"/>
        <w:rPr>
          <w:b w:val="0"/>
        </w:rPr>
      </w:pPr>
      <w:r w:rsidRPr="00465D15">
        <w:rPr>
          <w:b w:val="0"/>
        </w:rPr>
        <w:t>If the target block type of the security operation identifie</w:t>
      </w:r>
      <w:r w:rsidR="00F9535F">
        <w:rPr>
          <w:b w:val="0"/>
        </w:rPr>
        <w:t>s</w:t>
      </w:r>
      <w:r w:rsidRPr="00465D15">
        <w:rPr>
          <w:b w:val="0"/>
        </w:rPr>
        <w:t xml:space="preserve"> multiple blocks in the bundle, the security operation cannot be applied.</w:t>
      </w:r>
    </w:p>
    <w:p w14:paraId="36579109" w14:textId="77777777" w:rsidR="00527CD4" w:rsidRDefault="00527CD4" w:rsidP="00527CD4">
      <w:pPr>
        <w:rPr>
          <w:b/>
        </w:rPr>
      </w:pPr>
    </w:p>
    <w:p w14:paraId="4CD1D09B" w14:textId="08A7E814" w:rsidR="007B08D1" w:rsidRDefault="007B08D1" w:rsidP="00527CD4">
      <w:r>
        <w:t>NOTES</w:t>
      </w:r>
    </w:p>
    <w:p w14:paraId="2C7EECCE" w14:textId="77777777" w:rsidR="007B08D1" w:rsidRDefault="007B08D1" w:rsidP="00527CD4"/>
    <w:p w14:paraId="13F4DEC0" w14:textId="3AEAA689" w:rsidR="00A86839" w:rsidRDefault="007B08D1" w:rsidP="00465D15">
      <w:pPr>
        <w:ind w:left="720" w:hanging="720"/>
      </w:pPr>
      <w:r>
        <w:t>1</w:t>
      </w:r>
      <w:r>
        <w:tab/>
      </w:r>
      <w:r w:rsidR="00A86839" w:rsidRPr="00A4078A">
        <w:t>If</w:t>
      </w:r>
      <w:r w:rsidR="00A86839">
        <w:t xml:space="preserve"> a node adds a block to a bundle which results in the bundle containing multiple blocks of the same block type, </w:t>
      </w:r>
      <w:r w:rsidR="00F729D8">
        <w:t>that node</w:t>
      </w:r>
      <w:r w:rsidR="00A86839">
        <w:t xml:space="preserve"> may not act as the security source for that block. </w:t>
      </w:r>
    </w:p>
    <w:p w14:paraId="695FC8E5" w14:textId="77777777" w:rsidR="00AF3496" w:rsidRDefault="00AF3496" w:rsidP="00527CD4"/>
    <w:p w14:paraId="62D5F4EF" w14:textId="2FFED6DB" w:rsidR="00723337" w:rsidRDefault="007B08D1" w:rsidP="00465D15">
      <w:pPr>
        <w:ind w:left="720" w:hanging="720"/>
      </w:pPr>
      <w:r>
        <w:lastRenderedPageBreak/>
        <w:t>2</w:t>
      </w:r>
      <w:r>
        <w:tab/>
      </w:r>
      <w:r w:rsidR="00D443BA">
        <w:t xml:space="preserve">In cases where </w:t>
      </w:r>
      <w:r w:rsidR="002F055F">
        <w:t>all blocks of the same block type are removed from a bundle</w:t>
      </w:r>
      <w:r w:rsidR="00C65EBB">
        <w:t xml:space="preserve"> before a node adds a new instance of the block</w:t>
      </w:r>
      <w:r w:rsidR="00080F21">
        <w:t>, that node may act as the security source for the new block as it can be uniquely identified by its block type</w:t>
      </w:r>
      <w:r w:rsidR="00592DC7">
        <w:t>.</w:t>
      </w:r>
    </w:p>
    <w:p w14:paraId="2B899EDE" w14:textId="5E8560EE" w:rsidR="00AD7B33" w:rsidRPr="00394053" w:rsidRDefault="00D9666C" w:rsidP="00465D15">
      <w:pPr>
        <w:pStyle w:val="Heading4"/>
        <w:rPr>
          <w:b w:val="0"/>
        </w:rPr>
      </w:pPr>
      <w:r w:rsidRPr="0094359D">
        <w:rPr>
          <w:b w:val="0"/>
        </w:rPr>
        <w:t>It is recommended that b</w:t>
      </w:r>
      <w:r w:rsidR="00F11660" w:rsidRPr="00394053">
        <w:rPr>
          <w:b w:val="0"/>
        </w:rPr>
        <w:t xml:space="preserve">undle-in-bundle encapsulation </w:t>
      </w:r>
      <w:r w:rsidRPr="0094359D">
        <w:rPr>
          <w:b w:val="0"/>
        </w:rPr>
        <w:t>is</w:t>
      </w:r>
      <w:r w:rsidR="00F11660" w:rsidRPr="00394053">
        <w:rPr>
          <w:b w:val="0"/>
        </w:rPr>
        <w:t xml:space="preserve"> used</w:t>
      </w:r>
      <w:r w:rsidR="00CB71D0" w:rsidRPr="00394053">
        <w:rPr>
          <w:b w:val="0"/>
        </w:rPr>
        <w:t xml:space="preserve"> in situations where </w:t>
      </w:r>
      <w:r w:rsidR="004B4970" w:rsidRPr="0094359D">
        <w:rPr>
          <w:b w:val="0"/>
        </w:rPr>
        <w:t>the abo</w:t>
      </w:r>
      <w:r w:rsidR="004B4970" w:rsidRPr="005278C3">
        <w:rPr>
          <w:b w:val="0"/>
        </w:rPr>
        <w:t>ve conditions are not met</w:t>
      </w:r>
      <w:r w:rsidR="002C56A2" w:rsidRPr="005278C3">
        <w:rPr>
          <w:b w:val="0"/>
        </w:rPr>
        <w:t xml:space="preserve"> </w:t>
      </w:r>
      <w:r w:rsidR="00D43718" w:rsidRPr="0094359D">
        <w:rPr>
          <w:b w:val="0"/>
        </w:rPr>
        <w:t>if the security operation must still be applied to the bundle.</w:t>
      </w:r>
    </w:p>
    <w:bookmarkEnd w:id="150"/>
    <w:p w14:paraId="030C9D17" w14:textId="606315AF" w:rsidR="00332FF3" w:rsidRDefault="00690E30" w:rsidP="00465D15">
      <w:pPr>
        <w:pStyle w:val="Heading3"/>
      </w:pPr>
      <w:r>
        <w:t>Receiving Procedures</w:t>
      </w:r>
    </w:p>
    <w:p w14:paraId="5973C370" w14:textId="77777777" w:rsidR="00065E55" w:rsidRDefault="00065E55" w:rsidP="00065E55">
      <w:pPr>
        <w:pStyle w:val="Paragraph4"/>
        <w:numPr>
          <w:ilvl w:val="3"/>
          <w:numId w:val="1"/>
        </w:numPr>
      </w:pPr>
      <w:r>
        <w:t>If the relationship between a security block and its target block is ambiguous, the security service will fail according to security policy.</w:t>
      </w:r>
    </w:p>
    <w:p w14:paraId="491D73C2" w14:textId="77777777" w:rsidR="00065E55" w:rsidRDefault="00065E55" w:rsidP="00065E55">
      <w:pPr>
        <w:pStyle w:val="Paragraph4"/>
        <w:numPr>
          <w:ilvl w:val="0"/>
          <w:numId w:val="0"/>
        </w:numPr>
      </w:pPr>
      <w:r>
        <w:t>NOTES</w:t>
      </w:r>
    </w:p>
    <w:p w14:paraId="09EEABAD" w14:textId="1145AB58" w:rsidR="00065E55" w:rsidRDefault="00065E55" w:rsidP="00065E55">
      <w:pPr>
        <w:pStyle w:val="Paragraph4"/>
        <w:numPr>
          <w:ilvl w:val="0"/>
          <w:numId w:val="0"/>
        </w:numPr>
        <w:ind w:left="900" w:hanging="900"/>
      </w:pPr>
      <w:r w:rsidRPr="007E1804">
        <w:t>1</w:t>
      </w:r>
      <w:r>
        <w:tab/>
        <w:t xml:space="preserve">The scenario presented in 4.2.3.1 will not occur when every node that a bundle encounters during transmission is a security-aware </w:t>
      </w:r>
      <w:r w:rsidR="00340FAC">
        <w:t>BPA</w:t>
      </w:r>
      <w:r>
        <w:t xml:space="preserve">. However, a security block’s target block may be ambiguous if the bundle encounters a non-security-aware </w:t>
      </w:r>
      <w:r w:rsidR="00F74B1B">
        <w:t>BPA during transmission which adds a duplicate block type to the bundle.</w:t>
      </w:r>
    </w:p>
    <w:p w14:paraId="243CC94A" w14:textId="60D34819" w:rsidR="00065E55" w:rsidRDefault="00065E55" w:rsidP="00065E55">
      <w:pPr>
        <w:pStyle w:val="Paragraph4"/>
        <w:numPr>
          <w:ilvl w:val="0"/>
          <w:numId w:val="0"/>
        </w:numPr>
        <w:ind w:left="900" w:hanging="900"/>
      </w:pPr>
      <w:r>
        <w:t>2</w:t>
      </w:r>
      <w:r>
        <w:tab/>
        <w:t>Network designers must consider the implications of allowing both security-aw</w:t>
      </w:r>
      <w:r w:rsidR="00346327">
        <w:t>are and non-security-aware BPAs to be active in the network at one time</w:t>
      </w:r>
      <w:r>
        <w:t xml:space="preserve">. </w:t>
      </w:r>
    </w:p>
    <w:p w14:paraId="4B02F3A0" w14:textId="77777777" w:rsidR="00065E55" w:rsidRPr="001B79CE" w:rsidRDefault="00065E55" w:rsidP="00394053">
      <w:pPr>
        <w:pStyle w:val="Heading4"/>
      </w:pPr>
      <w:r w:rsidRPr="001B79CE">
        <w:t>Receiving BCB Blocks</w:t>
      </w:r>
    </w:p>
    <w:p w14:paraId="129E5D79" w14:textId="345821BD" w:rsidR="00F47A22" w:rsidRDefault="00065E55" w:rsidP="00394053">
      <w:pPr>
        <w:pStyle w:val="Paragraph5"/>
        <w:numPr>
          <w:ilvl w:val="4"/>
          <w:numId w:val="1"/>
        </w:numPr>
        <w:tabs>
          <w:tab w:val="left" w:pos="1080"/>
        </w:tabs>
      </w:pPr>
      <w:r w:rsidRPr="001B79CE">
        <w:t>If the receiving node is the destination of the bundle, th</w:t>
      </w:r>
      <w:r>
        <w:t>at</w:t>
      </w:r>
      <w:r w:rsidRPr="001B79CE">
        <w:t xml:space="preserve"> node must decrypt any BCBs remaining in the bundle</w:t>
      </w:r>
      <w:r>
        <w:t xml:space="preserve"> in accordance with the security context specification</w:t>
      </w:r>
      <w:r w:rsidRPr="001B79CE">
        <w:t>.</w:t>
      </w:r>
    </w:p>
    <w:p w14:paraId="34131652" w14:textId="3D326DF2" w:rsidR="00F47A22" w:rsidRPr="001B79CE" w:rsidRDefault="00F47A22" w:rsidP="00394053">
      <w:pPr>
        <w:pStyle w:val="Paragraph5"/>
        <w:numPr>
          <w:ilvl w:val="0"/>
          <w:numId w:val="0"/>
        </w:numPr>
        <w:tabs>
          <w:tab w:val="clear" w:pos="1080"/>
          <w:tab w:val="left" w:pos="810"/>
        </w:tabs>
        <w:ind w:left="1080" w:hanging="1080"/>
      </w:pPr>
      <w:r>
        <w:t xml:space="preserve">NOTE </w:t>
      </w:r>
      <w:r>
        <w:tab/>
      </w:r>
      <w:proofErr w:type="gramStart"/>
      <w:r>
        <w:t>–  In</w:t>
      </w:r>
      <w:proofErr w:type="gramEnd"/>
      <w:r>
        <w:t xml:space="preserve"> this case, the bundle destination is functioning as the default security acceptor for all BCBs in the bundle. </w:t>
      </w:r>
    </w:p>
    <w:p w14:paraId="4CE47B30" w14:textId="77777777" w:rsidR="00065E55" w:rsidRDefault="00065E55" w:rsidP="00065E55">
      <w:pPr>
        <w:pStyle w:val="Paragraph5"/>
        <w:numPr>
          <w:ilvl w:val="4"/>
          <w:numId w:val="1"/>
        </w:numPr>
        <w:tabs>
          <w:tab w:val="left" w:pos="1080"/>
        </w:tabs>
      </w:pPr>
      <w:r>
        <w:t>A</w:t>
      </w:r>
      <w:r w:rsidRPr="001B79CE">
        <w:t xml:space="preserve"> receiving node </w:t>
      </w:r>
      <w:r>
        <w:t xml:space="preserve">that </w:t>
      </w:r>
      <w:r w:rsidRPr="001B79CE">
        <w:t>is not the bundle</w:t>
      </w:r>
      <w:r>
        <w:t xml:space="preserve"> destination</w:t>
      </w:r>
      <w:r w:rsidRPr="001B79CE">
        <w:t xml:space="preserve"> may decrypt </w:t>
      </w:r>
      <w:r>
        <w:t xml:space="preserve">a </w:t>
      </w:r>
      <w:r w:rsidRPr="001B79CE">
        <w:t xml:space="preserve">BCB if </w:t>
      </w:r>
      <w:r>
        <w:t>security policy identifies it as the security acceptor for that BCB</w:t>
      </w:r>
      <w:r w:rsidRPr="001B79CE">
        <w:t>.</w:t>
      </w:r>
    </w:p>
    <w:p w14:paraId="7456CA88" w14:textId="77777777" w:rsidR="00065E55" w:rsidRDefault="00065E55" w:rsidP="00065E55">
      <w:pPr>
        <w:pStyle w:val="Paragraph5"/>
        <w:numPr>
          <w:ilvl w:val="4"/>
          <w:numId w:val="1"/>
        </w:numPr>
        <w:tabs>
          <w:tab w:val="left" w:pos="1080"/>
        </w:tabs>
      </w:pPr>
      <w:r w:rsidRPr="00D1511D">
        <w:t>When a BCB is decrypted, the recovered plain</w:t>
      </w:r>
      <w:r>
        <w:t xml:space="preserve"> </w:t>
      </w:r>
      <w:r w:rsidRPr="00D1511D">
        <w:t>text must replace the cipher</w:t>
      </w:r>
      <w:r>
        <w:t xml:space="preserve"> </w:t>
      </w:r>
      <w:r w:rsidRPr="00D1511D">
        <w:t>text in the target</w:t>
      </w:r>
      <w:r>
        <w:t xml:space="preserve"> block’s</w:t>
      </w:r>
      <w:r w:rsidRPr="00D1511D">
        <w:t xml:space="preserve"> b</w:t>
      </w:r>
      <w:r>
        <w:t>lock-type-specific</w:t>
      </w:r>
      <w:r w:rsidRPr="00D1511D">
        <w:t xml:space="preserve"> data.</w:t>
      </w:r>
      <w:r>
        <w:t xml:space="preserve"> </w:t>
      </w:r>
    </w:p>
    <w:p w14:paraId="40A4CB67" w14:textId="77777777" w:rsidR="00065E55" w:rsidRPr="001B79CE" w:rsidRDefault="00065E55" w:rsidP="00065E55">
      <w:pPr>
        <w:pStyle w:val="Paragraph5"/>
        <w:numPr>
          <w:ilvl w:val="4"/>
          <w:numId w:val="1"/>
        </w:numPr>
        <w:tabs>
          <w:tab w:val="left" w:pos="1080"/>
        </w:tabs>
      </w:pPr>
      <w:r>
        <w:t>If decryption of the BCB target block fails, the target shall be processed according to security policy.</w:t>
      </w:r>
    </w:p>
    <w:p w14:paraId="0D1BFBF9" w14:textId="77777777" w:rsidR="00065E55" w:rsidRPr="00427A3E" w:rsidRDefault="00065E55" w:rsidP="00065E55">
      <w:pPr>
        <w:pStyle w:val="Heading6"/>
        <w:numPr>
          <w:ilvl w:val="5"/>
          <w:numId w:val="1"/>
        </w:numPr>
      </w:pPr>
      <w:r w:rsidRPr="001B79CE" w:rsidDel="000F3319">
        <w:lastRenderedPageBreak/>
        <w:t xml:space="preserve"> </w:t>
      </w:r>
      <w:r w:rsidRPr="00465D15">
        <w:rPr>
          <w:b w:val="0"/>
        </w:rPr>
        <w:t xml:space="preserve">If the relevant parts of an encrypted payload </w:t>
      </w:r>
      <w:r>
        <w:rPr>
          <w:b w:val="0"/>
        </w:rPr>
        <w:t xml:space="preserve">block </w:t>
      </w:r>
      <w:r w:rsidRPr="00465D15">
        <w:rPr>
          <w:b w:val="0"/>
        </w:rPr>
        <w:t>cannot be decrypted (i.e., the decryption key cannot be deduced or decryption fails), then the bundle must be discarded and processed no further.</w:t>
      </w:r>
    </w:p>
    <w:p w14:paraId="059E32DD" w14:textId="77777777" w:rsidR="00065E55" w:rsidRPr="00427A3E" w:rsidRDefault="00065E55" w:rsidP="00065E55">
      <w:pPr>
        <w:pStyle w:val="Heading6"/>
        <w:numPr>
          <w:ilvl w:val="5"/>
          <w:numId w:val="1"/>
        </w:numPr>
      </w:pPr>
      <w:r w:rsidRPr="00465D15">
        <w:rPr>
          <w:b w:val="0"/>
        </w:rPr>
        <w:t>If an encrypted target block other than the payload block cannot be decrypted, the BCB and its associated target block must be discarded and processed no further.</w:t>
      </w:r>
    </w:p>
    <w:p w14:paraId="2111ECA1" w14:textId="3773F93C" w:rsidR="00065E55" w:rsidRPr="00427A3E" w:rsidRDefault="00065E55" w:rsidP="00065E55">
      <w:pPr>
        <w:pStyle w:val="Heading6"/>
        <w:numPr>
          <w:ilvl w:val="5"/>
          <w:numId w:val="1"/>
        </w:numPr>
      </w:pPr>
      <w:r w:rsidRPr="00465D15">
        <w:rPr>
          <w:b w:val="0"/>
        </w:rPr>
        <w:t xml:space="preserve">If </w:t>
      </w:r>
      <w:r w:rsidR="002374B7">
        <w:rPr>
          <w:b w:val="0"/>
        </w:rPr>
        <w:t>any BCB failure results in the removal of a block</w:t>
      </w:r>
      <w:r w:rsidR="002E4F2E">
        <w:rPr>
          <w:b w:val="0"/>
        </w:rPr>
        <w:t xml:space="preserve"> in a bundle </w:t>
      </w:r>
      <w:r w:rsidR="002374B7">
        <w:rPr>
          <w:b w:val="0"/>
        </w:rPr>
        <w:t xml:space="preserve">or the bundle </w:t>
      </w:r>
      <w:r w:rsidR="002E4F2E">
        <w:rPr>
          <w:b w:val="0"/>
        </w:rPr>
        <w:t xml:space="preserve">itself, </w:t>
      </w:r>
      <w:r w:rsidR="002374B7">
        <w:rPr>
          <w:b w:val="0"/>
        </w:rPr>
        <w:t xml:space="preserve">then </w:t>
      </w:r>
      <w:r w:rsidRPr="00465D15">
        <w:rPr>
          <w:b w:val="0"/>
        </w:rPr>
        <w:t>requested status reports may be generated to reflect bundle or block deletion.</w:t>
      </w:r>
    </w:p>
    <w:p w14:paraId="47AF93A3" w14:textId="77777777" w:rsidR="00065E55" w:rsidRPr="00D1511D" w:rsidRDefault="00065E55" w:rsidP="00065E55">
      <w:pPr>
        <w:pStyle w:val="Paragraph5"/>
        <w:numPr>
          <w:ilvl w:val="4"/>
          <w:numId w:val="1"/>
        </w:numPr>
        <w:tabs>
          <w:tab w:val="left" w:pos="1080"/>
        </w:tabs>
      </w:pPr>
      <w:r>
        <w:t>When the security operation for a BCB has been removed, the BCB must be removed from the bundle.</w:t>
      </w:r>
    </w:p>
    <w:p w14:paraId="35BFA211" w14:textId="77777777" w:rsidR="00065E55" w:rsidRPr="001B79CE" w:rsidRDefault="00065E55" w:rsidP="00394053">
      <w:pPr>
        <w:pStyle w:val="Heading4"/>
        <w:tabs>
          <w:tab w:val="left" w:pos="990"/>
        </w:tabs>
      </w:pPr>
      <w:r w:rsidRPr="001B79CE">
        <w:t>Receiving BIB Blocks</w:t>
      </w:r>
    </w:p>
    <w:p w14:paraId="13B93574" w14:textId="5EED55B7" w:rsidR="00065E55" w:rsidRDefault="00065E55" w:rsidP="00065E55">
      <w:pPr>
        <w:pStyle w:val="Paragraph5"/>
        <w:numPr>
          <w:ilvl w:val="4"/>
          <w:numId w:val="1"/>
        </w:numPr>
        <w:tabs>
          <w:tab w:val="left" w:pos="1080"/>
        </w:tabs>
      </w:pPr>
      <w:r w:rsidRPr="001B79CE">
        <w:t xml:space="preserve">If </w:t>
      </w:r>
      <w:r>
        <w:t xml:space="preserve">the receiving node is the destination of the bundle, the node must process any BIBs remaining in the bundle </w:t>
      </w:r>
      <w:r w:rsidRPr="001B79CE">
        <w:t xml:space="preserve">in accordance with the </w:t>
      </w:r>
      <w:r>
        <w:t>security context</w:t>
      </w:r>
      <w:r w:rsidRPr="001B79CE">
        <w:t xml:space="preserve"> specification.</w:t>
      </w:r>
      <w:r>
        <w:t xml:space="preserve"> </w:t>
      </w:r>
    </w:p>
    <w:p w14:paraId="51FE3BA0" w14:textId="3A257043" w:rsidR="003D4231" w:rsidRDefault="003D4231" w:rsidP="00394053">
      <w:pPr>
        <w:pStyle w:val="Paragraph5"/>
        <w:numPr>
          <w:ilvl w:val="0"/>
          <w:numId w:val="0"/>
        </w:numPr>
        <w:tabs>
          <w:tab w:val="clear" w:pos="1080"/>
          <w:tab w:val="left" w:pos="810"/>
        </w:tabs>
        <w:ind w:left="1080" w:hanging="1080"/>
      </w:pPr>
      <w:r>
        <w:t xml:space="preserve">NOTE </w:t>
      </w:r>
      <w:r>
        <w:tab/>
      </w:r>
      <w:proofErr w:type="gramStart"/>
      <w:r>
        <w:t>–  In</w:t>
      </w:r>
      <w:proofErr w:type="gramEnd"/>
      <w:r>
        <w:t xml:space="preserve"> this case, the bundle destination is functioning as the default security acceptor for all BIBs in the bundle. </w:t>
      </w:r>
    </w:p>
    <w:p w14:paraId="43445D5C" w14:textId="77777777" w:rsidR="00065E55" w:rsidRDefault="00065E55" w:rsidP="00065E55">
      <w:pPr>
        <w:pStyle w:val="Paragraph5"/>
        <w:numPr>
          <w:ilvl w:val="4"/>
          <w:numId w:val="1"/>
        </w:numPr>
        <w:tabs>
          <w:tab w:val="left" w:pos="1080"/>
        </w:tabs>
      </w:pPr>
      <w:r>
        <w:t>A receiving node that is not the bundle destination may verify the integrity of the target block of a BIB and remove the BIB from the bundle if security policy identifies it as the security acceptor for that BIB.</w:t>
      </w:r>
    </w:p>
    <w:p w14:paraId="30BE716F" w14:textId="77777777" w:rsidR="00065E55" w:rsidRPr="001B79CE" w:rsidRDefault="00065E55" w:rsidP="00065E55">
      <w:pPr>
        <w:pStyle w:val="Paragraph5"/>
        <w:numPr>
          <w:ilvl w:val="4"/>
          <w:numId w:val="1"/>
        </w:numPr>
        <w:tabs>
          <w:tab w:val="left" w:pos="1080"/>
        </w:tabs>
      </w:pPr>
      <w:r>
        <w:t>A receiving node that is not the bundle destination or security acceptor may verify the integrity of the target block of a BIB if security policy identifies it as a security verifier for that BIB.</w:t>
      </w:r>
    </w:p>
    <w:p w14:paraId="7F3C8EEE" w14:textId="77777777" w:rsidR="00065E55" w:rsidRPr="00FD072C" w:rsidRDefault="00065E55" w:rsidP="00065E55">
      <w:pPr>
        <w:pStyle w:val="Paragraph5"/>
        <w:numPr>
          <w:ilvl w:val="4"/>
          <w:numId w:val="1"/>
        </w:numPr>
        <w:tabs>
          <w:tab w:val="left" w:pos="1080"/>
        </w:tabs>
      </w:pPr>
      <w:r w:rsidRPr="001B79CE">
        <w:t xml:space="preserve">If </w:t>
      </w:r>
      <w:r>
        <w:t>integrity verification of the BIB target block f</w:t>
      </w:r>
      <w:r w:rsidRPr="001B79CE">
        <w:t>ails, the</w:t>
      </w:r>
      <w:r>
        <w:t xml:space="preserve"> </w:t>
      </w:r>
      <w:r w:rsidRPr="001B79CE">
        <w:t>target shall be processed according to security policy.</w:t>
      </w:r>
    </w:p>
    <w:p w14:paraId="7350A38B" w14:textId="3686A6A6" w:rsidR="00B95EAE" w:rsidRPr="00394053" w:rsidRDefault="00B95EAE" w:rsidP="00394053">
      <w:pPr>
        <w:pStyle w:val="Heading6"/>
        <w:jc w:val="both"/>
        <w:rPr>
          <w:b w:val="0"/>
        </w:rPr>
      </w:pPr>
      <w:commentRangeStart w:id="152"/>
      <w:r w:rsidRPr="00394053">
        <w:rPr>
          <w:b w:val="0"/>
        </w:rPr>
        <w:t>If a payload integrity check fails at a security verifier that is in possession of the correct cryptographic key, it is recommended that the bundle be processed in the same way as if the check had failed at the security acceptor.</w:t>
      </w:r>
      <w:commentRangeEnd w:id="152"/>
      <w:r w:rsidRPr="00394053">
        <w:rPr>
          <w:rStyle w:val="CommentReference"/>
          <w:b w:val="0"/>
        </w:rPr>
        <w:commentReference w:id="152"/>
      </w:r>
    </w:p>
    <w:p w14:paraId="51444EE6" w14:textId="21C83D35" w:rsidR="00065E55" w:rsidRPr="00394053" w:rsidRDefault="00065E55" w:rsidP="00394053">
      <w:pPr>
        <w:pStyle w:val="Heading6"/>
        <w:jc w:val="both"/>
        <w:rPr>
          <w:b w:val="0"/>
        </w:rPr>
      </w:pPr>
      <w:r w:rsidRPr="00394053">
        <w:rPr>
          <w:b w:val="0"/>
        </w:rPr>
        <w:t>If the target block is the payload or primary block and is removed by the security verifier or security acceptor as a function of security policy, the bundle m</w:t>
      </w:r>
      <w:r w:rsidR="008A63FA" w:rsidRPr="00394053">
        <w:rPr>
          <w:b w:val="0"/>
        </w:rPr>
        <w:t>ust</w:t>
      </w:r>
      <w:r w:rsidRPr="00394053">
        <w:rPr>
          <w:b w:val="0"/>
        </w:rPr>
        <w:t xml:space="preserve"> be discarded.</w:t>
      </w:r>
    </w:p>
    <w:p w14:paraId="71444B72" w14:textId="77777777" w:rsidR="00065E55" w:rsidRPr="00394053" w:rsidRDefault="00065E55" w:rsidP="00394053">
      <w:pPr>
        <w:pStyle w:val="Heading6"/>
        <w:jc w:val="both"/>
        <w:rPr>
          <w:b w:val="0"/>
        </w:rPr>
      </w:pPr>
      <w:r w:rsidRPr="00394053">
        <w:rPr>
          <w:b w:val="0"/>
        </w:rPr>
        <w:t>If the integrity verification of the BIB target block fails, a bundle status report indicating the failure may be generated.</w:t>
      </w:r>
    </w:p>
    <w:p w14:paraId="640F3F56" w14:textId="77777777" w:rsidR="00065E55" w:rsidRPr="001B79CE" w:rsidRDefault="00065E55" w:rsidP="00065E55">
      <w:pPr>
        <w:pStyle w:val="Paragraph5"/>
        <w:numPr>
          <w:ilvl w:val="4"/>
          <w:numId w:val="1"/>
        </w:numPr>
        <w:tabs>
          <w:tab w:val="left" w:pos="1080"/>
        </w:tabs>
      </w:pPr>
      <w:r>
        <w:t>When the security operation for a BIB has been removed, the BIB must be removed from the bundle.</w:t>
      </w:r>
    </w:p>
    <w:p w14:paraId="2881220B" w14:textId="77777777" w:rsidR="00065E55" w:rsidRPr="00394053" w:rsidRDefault="00065E55" w:rsidP="00394053"/>
    <w:p w14:paraId="0A42D2FA" w14:textId="4049DC7E" w:rsidR="00332FF3" w:rsidRPr="00D1511D" w:rsidRDefault="00332FF3" w:rsidP="00465D15">
      <w:pPr>
        <w:pStyle w:val="Heading3"/>
      </w:pPr>
      <w:bookmarkStart w:id="153" w:name="_Toc350520817"/>
      <w:r w:rsidRPr="00644A25">
        <w:lastRenderedPageBreak/>
        <w:t xml:space="preserve">Bundle </w:t>
      </w:r>
      <w:r w:rsidRPr="00D1511D">
        <w:t>Fragmentation</w:t>
      </w:r>
      <w:bookmarkEnd w:id="153"/>
    </w:p>
    <w:p w14:paraId="30B5860B" w14:textId="00424517" w:rsidR="009B0752" w:rsidRPr="001B79CE" w:rsidRDefault="009B0752" w:rsidP="009B0752">
      <w:pPr>
        <w:pStyle w:val="Paragraph4"/>
        <w:numPr>
          <w:ilvl w:val="3"/>
          <w:numId w:val="1"/>
        </w:numPr>
        <w:tabs>
          <w:tab w:val="clear" w:pos="1987"/>
        </w:tabs>
        <w:ind w:left="0"/>
      </w:pPr>
      <w:r w:rsidRPr="001B79CE">
        <w:t>If a node</w:t>
      </w:r>
      <w:r>
        <w:t xml:space="preserve"> </w:t>
      </w:r>
      <w:r w:rsidRPr="001B79CE">
        <w:t>fragment</w:t>
      </w:r>
      <w:r>
        <w:t>s</w:t>
      </w:r>
      <w:r w:rsidRPr="001B79CE">
        <w:t xml:space="preserve"> a bundle</w:t>
      </w:r>
      <w:r>
        <w:t xml:space="preserve"> that has</w:t>
      </w:r>
      <w:r w:rsidRPr="001B79CE">
        <w:t xml:space="preserve"> security services applied</w:t>
      </w:r>
      <w:r>
        <w:t>,</w:t>
      </w:r>
      <w:r w:rsidRPr="001B79CE">
        <w:t xml:space="preserve"> the fragmentation rules described in the BP specification (reference </w:t>
      </w:r>
      <w:r w:rsidRPr="001B79CE">
        <w:fldChar w:fldCharType="begin"/>
      </w:r>
      <w:r w:rsidRPr="001B79CE">
        <w:instrText xml:space="preserve"> REF R_734x2b1CcsdsBundleProtocolSpecificatio \h </w:instrText>
      </w:r>
      <w:r>
        <w:instrText xml:space="preserve"> \* MERGEFORMAT </w:instrText>
      </w:r>
      <w:r w:rsidRPr="001B79CE">
        <w:fldChar w:fldCharType="separate"/>
      </w:r>
      <w:r w:rsidRPr="001B79CE">
        <w:t>[</w:t>
      </w:r>
      <w:r>
        <w:rPr>
          <w:noProof/>
        </w:rPr>
        <w:t>1</w:t>
      </w:r>
      <w:r w:rsidRPr="001B79CE">
        <w:t>]</w:t>
      </w:r>
      <w:r w:rsidRPr="001B79CE">
        <w:fldChar w:fldCharType="end"/>
      </w:r>
      <w:r w:rsidRPr="001B79CE">
        <w:t>) must be followed.</w:t>
      </w:r>
    </w:p>
    <w:p w14:paraId="3EE41EC6" w14:textId="77777777" w:rsidR="009B0752" w:rsidRPr="001B79CE" w:rsidRDefault="009B0752" w:rsidP="009B0752">
      <w:pPr>
        <w:pStyle w:val="Notelevel1"/>
      </w:pPr>
      <w:r w:rsidRPr="001B79CE">
        <w:t>NOTE</w:t>
      </w:r>
      <w:r w:rsidRPr="001B79CE">
        <w:tab/>
        <w:t>–</w:t>
      </w:r>
      <w:r w:rsidRPr="001B79CE">
        <w:tab/>
      </w:r>
      <w:r>
        <w:t>O</w:t>
      </w:r>
      <w:r w:rsidRPr="001B79CE">
        <w:t xml:space="preserve">nly the payload </w:t>
      </w:r>
      <w:r>
        <w:t xml:space="preserve">block </w:t>
      </w:r>
      <w:r w:rsidRPr="001B79CE">
        <w:t>may be fragmented; security blocks, like all extension blocks, can never be fragmented.</w:t>
      </w:r>
    </w:p>
    <w:p w14:paraId="507D7668" w14:textId="77777777" w:rsidR="009B0752" w:rsidRPr="001B79CE" w:rsidRDefault="009B0752" w:rsidP="009B0752">
      <w:pPr>
        <w:pStyle w:val="Paragraph4"/>
        <w:numPr>
          <w:ilvl w:val="3"/>
          <w:numId w:val="1"/>
        </w:numPr>
        <w:tabs>
          <w:tab w:val="clear" w:pos="1987"/>
        </w:tabs>
        <w:ind w:left="0"/>
      </w:pPr>
      <w:r w:rsidRPr="001B79CE">
        <w:t xml:space="preserve">Integrity and confidentiality operations are not to be applied to a bundle representing a fragment (i.e., a bundle whose </w:t>
      </w:r>
      <w:r>
        <w:t>‘</w:t>
      </w:r>
      <w:r w:rsidRPr="001B79CE">
        <w:t>bundle is a fragment</w:t>
      </w:r>
      <w:r>
        <w:t>’</w:t>
      </w:r>
      <w:r w:rsidRPr="001B79CE">
        <w:t xml:space="preserve"> flag is set in the Bundle Processing Control Flags field).</w:t>
      </w:r>
    </w:p>
    <w:p w14:paraId="783463DF" w14:textId="77777777" w:rsidR="009B0752" w:rsidRPr="001B79CE" w:rsidRDefault="009B0752" w:rsidP="009B0752">
      <w:pPr>
        <w:pStyle w:val="Notelevel1"/>
      </w:pPr>
      <w:r w:rsidRPr="001B79CE">
        <w:t>NOTE</w:t>
      </w:r>
      <w:r w:rsidRPr="001B79CE">
        <w:tab/>
        <w:t>–</w:t>
      </w:r>
      <w:r w:rsidRPr="001B79CE">
        <w:tab/>
        <w:t>Specifically, a BCB or BIB must not be added to a bundle fragment, even if the target</w:t>
      </w:r>
      <w:r>
        <w:t xml:space="preserve"> block</w:t>
      </w:r>
      <w:r w:rsidRPr="001B79CE">
        <w:t xml:space="preserve"> of the security block is not the payload. </w:t>
      </w:r>
    </w:p>
    <w:p w14:paraId="67CCAFD0" w14:textId="4B4E2027" w:rsidR="00332FF3" w:rsidRPr="001B79CE" w:rsidRDefault="00332FF3" w:rsidP="00332FF3">
      <w:pPr>
        <w:pStyle w:val="Notelevel1"/>
      </w:pPr>
    </w:p>
    <w:p w14:paraId="3F9DBCB0" w14:textId="77777777" w:rsidR="00332FF3" w:rsidRDefault="00332FF3" w:rsidP="00332FF3"/>
    <w:p w14:paraId="56302D11" w14:textId="77777777" w:rsidR="00485F2A" w:rsidRDefault="00485F2A" w:rsidP="00237347">
      <w:pPr>
        <w:pStyle w:val="Heading1"/>
        <w:numPr>
          <w:ilvl w:val="0"/>
          <w:numId w:val="1"/>
        </w:numPr>
        <w:sectPr w:rsidR="00485F2A" w:rsidSect="00485F2A">
          <w:type w:val="continuous"/>
          <w:pgSz w:w="12240" w:h="15840"/>
          <w:pgMar w:top="1440" w:right="1440" w:bottom="1440" w:left="1440" w:header="547" w:footer="547" w:gutter="360"/>
          <w:pgNumType w:start="1" w:chapStyle="1"/>
          <w:cols w:space="720"/>
          <w:docGrid w:linePitch="360"/>
        </w:sectPr>
      </w:pPr>
    </w:p>
    <w:p w14:paraId="3BE7C650" w14:textId="69BB6C21" w:rsidR="00237347" w:rsidRPr="00485F2A" w:rsidRDefault="00237347" w:rsidP="00A209CB">
      <w:pPr>
        <w:pStyle w:val="Heading1"/>
        <w:sectPr w:rsidR="00237347" w:rsidRPr="00485F2A" w:rsidSect="00485F2A">
          <w:type w:val="continuous"/>
          <w:pgSz w:w="12240" w:h="15840"/>
          <w:pgMar w:top="1440" w:right="1440" w:bottom="1440" w:left="1440" w:header="547" w:footer="547" w:gutter="360"/>
          <w:pgNumType w:start="1" w:chapStyle="1"/>
          <w:cols w:space="720"/>
          <w:docGrid w:linePitch="360"/>
        </w:sectPr>
      </w:pPr>
      <w:bookmarkStart w:id="154" w:name="_Toc39246854"/>
      <w:r w:rsidRPr="00485F2A">
        <w:lastRenderedPageBreak/>
        <w:t>Managed Parameters</w:t>
      </w:r>
      <w:bookmarkEnd w:id="154"/>
    </w:p>
    <w:p w14:paraId="45AFB757" w14:textId="77777777" w:rsidR="00237347" w:rsidRDefault="00237347" w:rsidP="00237347">
      <w:pPr>
        <w:pStyle w:val="Heading2"/>
        <w:numPr>
          <w:ilvl w:val="1"/>
          <w:numId w:val="1"/>
        </w:numPr>
      </w:pPr>
      <w:bookmarkStart w:id="155" w:name="_Toc39246855"/>
      <w:r>
        <w:t>Overview</w:t>
      </w:r>
      <w:bookmarkEnd w:id="155"/>
    </w:p>
    <w:p w14:paraId="01195B01" w14:textId="77777777" w:rsidR="00237347" w:rsidRDefault="00237347" w:rsidP="00237347"/>
    <w:p w14:paraId="44C4D309" w14:textId="77777777" w:rsidR="00237347" w:rsidRDefault="00237347" w:rsidP="00237347">
      <w:pPr>
        <w:jc w:val="both"/>
      </w:pPr>
      <w:r>
        <w:t>Managed parameters are those parameters provided by management rather than included in SBSP security blocks. Because BP bundles may be stored in a network for extended periods of time, parameters that identify the state of the network must be provided by management as part of the policy or technical configuration of security-aware BPAs in the network.</w:t>
      </w:r>
    </w:p>
    <w:p w14:paraId="4DE0D769" w14:textId="77777777" w:rsidR="00237347" w:rsidRDefault="00237347" w:rsidP="00237347"/>
    <w:p w14:paraId="45B4C5F7" w14:textId="77777777" w:rsidR="00237347" w:rsidRDefault="00237347" w:rsidP="00237347">
      <w:pPr>
        <w:tabs>
          <w:tab w:val="left" w:pos="810"/>
        </w:tabs>
        <w:ind w:left="1080" w:hanging="1080"/>
        <w:jc w:val="both"/>
      </w:pPr>
      <w:r>
        <w:t>NOTE</w:t>
      </w:r>
      <w:r>
        <w:tab/>
        <w:t xml:space="preserve">–   BP networks cannot assume timely, reliable, end-to-end data exchange. Parameters associated with a specific instance of an integrity or confidentiality function input or output must be provided inline in an SBSP security block. </w:t>
      </w:r>
    </w:p>
    <w:p w14:paraId="431B6102" w14:textId="77777777" w:rsidR="00237347" w:rsidRDefault="00237347" w:rsidP="00237347"/>
    <w:p w14:paraId="0C65601F" w14:textId="6145CA3D" w:rsidR="00237347" w:rsidRDefault="00237347" w:rsidP="00237347">
      <w:pPr>
        <w:jc w:val="both"/>
      </w:pPr>
      <w:r>
        <w:t xml:space="preserve">The detailed specification of some managed parameters must occur in the context of a specific </w:t>
      </w:r>
      <w:r w:rsidR="00DC15B9">
        <w:t>security context</w:t>
      </w:r>
      <w:r>
        <w:t xml:space="preserve">. </w:t>
      </w:r>
    </w:p>
    <w:p w14:paraId="2825494C" w14:textId="77777777" w:rsidR="00237347" w:rsidRDefault="00237347" w:rsidP="00237347"/>
    <w:p w14:paraId="3979BFC0" w14:textId="11ED50EC" w:rsidR="00237347" w:rsidRDefault="00237347" w:rsidP="00237347">
      <w:pPr>
        <w:tabs>
          <w:tab w:val="left" w:pos="810"/>
        </w:tabs>
        <w:ind w:left="1080" w:hanging="1080"/>
        <w:jc w:val="both"/>
      </w:pPr>
      <w:r>
        <w:t xml:space="preserve">NOTE </w:t>
      </w:r>
      <w:r>
        <w:tab/>
        <w:t xml:space="preserve">–   SBSP security blocks may specify different </w:t>
      </w:r>
      <w:r w:rsidR="00DC15B9">
        <w:t>security contexts</w:t>
      </w:r>
      <w:r>
        <w:t xml:space="preserve">. These </w:t>
      </w:r>
      <w:r w:rsidR="00DC15B9">
        <w:t>contexts</w:t>
      </w:r>
      <w:r>
        <w:t xml:space="preserve"> may have different input parameters and some of these input parameters may be managed parameters. </w:t>
      </w:r>
    </w:p>
    <w:p w14:paraId="0EBE0C1C" w14:textId="77777777" w:rsidR="00237347" w:rsidRDefault="00237347" w:rsidP="00237347"/>
    <w:p w14:paraId="2BE33C1B" w14:textId="77777777" w:rsidR="00237347" w:rsidRDefault="00237347" w:rsidP="00237347">
      <w:pPr>
        <w:pStyle w:val="Heading2"/>
        <w:numPr>
          <w:ilvl w:val="1"/>
          <w:numId w:val="1"/>
        </w:numPr>
      </w:pPr>
      <w:bookmarkStart w:id="156" w:name="_Toc39246856"/>
      <w:r>
        <w:t>Requirements</w:t>
      </w:r>
      <w:bookmarkEnd w:id="156"/>
    </w:p>
    <w:p w14:paraId="4785988C" w14:textId="77777777" w:rsidR="00237347" w:rsidRDefault="00237347" w:rsidP="00237347"/>
    <w:p w14:paraId="6B3A0A4C" w14:textId="77777777" w:rsidR="00237347" w:rsidRDefault="00237347" w:rsidP="00237347">
      <w:pPr>
        <w:pStyle w:val="Heading3"/>
        <w:numPr>
          <w:ilvl w:val="2"/>
          <w:numId w:val="1"/>
        </w:numPr>
      </w:pPr>
      <w:r>
        <w:t>SBSP Managed Parameters</w:t>
      </w:r>
    </w:p>
    <w:p w14:paraId="2CAA04D7" w14:textId="77777777" w:rsidR="00237347" w:rsidRPr="008E2AB7" w:rsidRDefault="00237347" w:rsidP="00237347"/>
    <w:p w14:paraId="11887012" w14:textId="4A5D509E" w:rsidR="00237347" w:rsidRDefault="00237347" w:rsidP="00237347">
      <w:pPr>
        <w:jc w:val="both"/>
      </w:pPr>
      <w:r>
        <w:t xml:space="preserve">SBSP managed parameters are those parameters that are independent of the </w:t>
      </w:r>
      <w:r w:rsidR="00D353C1">
        <w:t>security contexts</w:t>
      </w:r>
      <w:r>
        <w:t xml:space="preserve"> used to generate cryptographic materials. The managed parameters used for the SBSP shall be those listed in table 5.1.</w:t>
      </w:r>
    </w:p>
    <w:p w14:paraId="3A400C5A" w14:textId="77777777" w:rsidR="00237347" w:rsidRDefault="00237347" w:rsidP="00237347">
      <w:pPr>
        <w:jc w:val="both"/>
      </w:pPr>
    </w:p>
    <w:p w14:paraId="462699CF" w14:textId="77777777" w:rsidR="00237347" w:rsidRDefault="00237347" w:rsidP="00237347">
      <w:pPr>
        <w:tabs>
          <w:tab w:val="left" w:pos="810"/>
        </w:tabs>
        <w:ind w:left="1080" w:hanging="1080"/>
        <w:jc w:val="both"/>
      </w:pPr>
      <w:r>
        <w:t>NOTE</w:t>
      </w:r>
      <w:r>
        <w:tab/>
      </w:r>
      <w:proofErr w:type="gramStart"/>
      <w:r>
        <w:t>–  These</w:t>
      </w:r>
      <w:proofErr w:type="gramEnd"/>
      <w:r>
        <w:t xml:space="preserve"> parameters are defined in an abstract sense, and are not intended to imply any particular implementation of a management system.</w:t>
      </w:r>
    </w:p>
    <w:p w14:paraId="51E76E1E" w14:textId="77777777" w:rsidR="00237347" w:rsidRPr="008E2AB7" w:rsidRDefault="00237347" w:rsidP="00237347">
      <w:pPr>
        <w:jc w:val="center"/>
        <w:rPr>
          <w:b/>
        </w:rPr>
      </w:pPr>
    </w:p>
    <w:p w14:paraId="57E25A50" w14:textId="5C90FB59" w:rsidR="001E1184" w:rsidRPr="00394053" w:rsidRDefault="00237347" w:rsidP="00237347">
      <w:pPr>
        <w:jc w:val="center"/>
      </w:pPr>
      <w:bookmarkStart w:id="157" w:name="_Toc39246961"/>
      <w:r w:rsidRPr="00394053">
        <w:t xml:space="preserve">Table </w:t>
      </w:r>
      <w:r w:rsidR="005B3E8B">
        <w:t>5</w:t>
      </w:r>
      <w:r w:rsidR="00713AF0">
        <w:noBreakHyphen/>
      </w:r>
      <w:r w:rsidR="00713AF0">
        <w:fldChar w:fldCharType="begin"/>
      </w:r>
      <w:r w:rsidR="00713AF0">
        <w:instrText xml:space="preserve"> SEQ Table \* ARABIC \s 8 </w:instrText>
      </w:r>
      <w:r w:rsidR="00713AF0">
        <w:fldChar w:fldCharType="separate"/>
      </w:r>
      <w:r w:rsidR="00713AF0">
        <w:rPr>
          <w:noProof/>
        </w:rPr>
        <w:t>1</w:t>
      </w:r>
      <w:r w:rsidR="00713AF0">
        <w:fldChar w:fldCharType="end"/>
      </w:r>
      <w:r w:rsidRPr="00394053">
        <w:t xml:space="preserve"> SBSP Managed Parameters</w:t>
      </w:r>
      <w:bookmarkEnd w:id="157"/>
    </w:p>
    <w:p w14:paraId="67923BAC" w14:textId="0AD9A98D" w:rsidR="001E1184" w:rsidRDefault="001E1184" w:rsidP="00394053">
      <w:pPr>
        <w:jc w:val="center"/>
      </w:pP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90"/>
        <w:gridCol w:w="1615"/>
      </w:tblGrid>
      <w:tr w:rsidR="00237347" w14:paraId="7F803104" w14:textId="77777777" w:rsidTr="00390136">
        <w:trPr>
          <w:cnfStyle w:val="100000000000" w:firstRow="1" w:lastRow="0" w:firstColumn="0" w:lastColumn="0" w:oddVBand="0" w:evenVBand="0" w:oddHBand="0" w:evenHBand="0" w:firstRowFirstColumn="0" w:firstRowLastColumn="0" w:lastRowFirstColumn="0" w:lastRowLastColumn="0"/>
          <w:trHeight w:val="665"/>
        </w:trPr>
        <w:tc>
          <w:tcPr>
            <w:cnfStyle w:val="001000000100" w:firstRow="0" w:lastRow="0" w:firstColumn="1" w:lastColumn="0" w:oddVBand="0" w:evenVBand="0" w:oddHBand="0" w:evenHBand="0" w:firstRowFirstColumn="1" w:firstRowLastColumn="0" w:lastRowFirstColumn="0" w:lastRowLastColumn="0"/>
            <w:tcW w:w="3685" w:type="dxa"/>
            <w:tcBorders>
              <w:bottom w:val="single" w:sz="4" w:space="0" w:color="auto"/>
            </w:tcBorders>
          </w:tcPr>
          <w:p w14:paraId="5A0B8FC7" w14:textId="77777777" w:rsidR="00237347" w:rsidRDefault="00237347" w:rsidP="00390136">
            <w:pPr>
              <w:jc w:val="center"/>
            </w:pPr>
            <w:r>
              <w:t>Managed Parameter</w:t>
            </w:r>
          </w:p>
        </w:tc>
        <w:tc>
          <w:tcPr>
            <w:tcW w:w="3690" w:type="dxa"/>
            <w:tcBorders>
              <w:bottom w:val="single" w:sz="4" w:space="0" w:color="auto"/>
            </w:tcBorders>
          </w:tcPr>
          <w:p w14:paraId="08979AB7" w14:textId="77777777" w:rsidR="00237347" w:rsidRDefault="00237347" w:rsidP="00390136">
            <w:pPr>
              <w:jc w:val="center"/>
              <w:cnfStyle w:val="100000000000" w:firstRow="1" w:lastRow="0" w:firstColumn="0" w:lastColumn="0" w:oddVBand="0" w:evenVBand="0" w:oddHBand="0" w:evenHBand="0" w:firstRowFirstColumn="0" w:firstRowLastColumn="0" w:lastRowFirstColumn="0" w:lastRowLastColumn="0"/>
            </w:pPr>
            <w:r>
              <w:t>Allowed Values</w:t>
            </w:r>
          </w:p>
        </w:tc>
        <w:tc>
          <w:tcPr>
            <w:tcW w:w="1615" w:type="dxa"/>
            <w:tcBorders>
              <w:bottom w:val="single" w:sz="4" w:space="0" w:color="auto"/>
            </w:tcBorders>
          </w:tcPr>
          <w:p w14:paraId="3B1714A7" w14:textId="77777777" w:rsidR="00237347" w:rsidRDefault="00237347" w:rsidP="00390136">
            <w:pPr>
              <w:jc w:val="center"/>
              <w:cnfStyle w:val="100000000000" w:firstRow="1" w:lastRow="0" w:firstColumn="0" w:lastColumn="0" w:oddVBand="0" w:evenVBand="0" w:oddHBand="0" w:evenHBand="0" w:firstRowFirstColumn="0" w:firstRowLastColumn="0" w:lastRowFirstColumn="0" w:lastRowLastColumn="0"/>
            </w:pPr>
            <w:r>
              <w:t>Defined in Reference</w:t>
            </w:r>
          </w:p>
        </w:tc>
      </w:tr>
      <w:tr w:rsidR="00237347" w14:paraId="435244C3" w14:textId="77777777" w:rsidTr="0039013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8990" w:type="dxa"/>
            <w:gridSpan w:val="3"/>
            <w:tcBorders>
              <w:top w:val="single" w:sz="4" w:space="0" w:color="auto"/>
              <w:bottom w:val="single" w:sz="4" w:space="0" w:color="auto"/>
              <w:right w:val="single" w:sz="4" w:space="0" w:color="auto"/>
            </w:tcBorders>
            <w:shd w:val="clear" w:color="auto" w:fill="BFBFBF" w:themeFill="background1" w:themeFillShade="BF"/>
          </w:tcPr>
          <w:p w14:paraId="73E56B4C" w14:textId="77777777" w:rsidR="00237347" w:rsidRDefault="00237347" w:rsidP="00390136">
            <w:r>
              <w:t>Local security-aware BPA parameters used to process SBSP security blocks.</w:t>
            </w:r>
          </w:p>
        </w:tc>
      </w:tr>
      <w:tr w:rsidR="00237347" w14:paraId="53B660FB" w14:textId="77777777" w:rsidTr="00390136">
        <w:trPr>
          <w:trHeight w:val="638"/>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auto"/>
            </w:tcBorders>
          </w:tcPr>
          <w:p w14:paraId="4624B3F2" w14:textId="77777777" w:rsidR="00237347" w:rsidRPr="008E2AB7" w:rsidRDefault="00237347" w:rsidP="00390136">
            <w:pPr>
              <w:rPr>
                <w:b w:val="0"/>
              </w:rPr>
            </w:pPr>
            <w:r w:rsidRPr="008E2AB7">
              <w:rPr>
                <w:b w:val="0"/>
              </w:rPr>
              <w:t>Bundle Node Security Roles</w:t>
            </w:r>
          </w:p>
        </w:tc>
        <w:tc>
          <w:tcPr>
            <w:tcW w:w="3690" w:type="dxa"/>
            <w:tcBorders>
              <w:top w:val="single" w:sz="4" w:space="0" w:color="auto"/>
            </w:tcBorders>
          </w:tcPr>
          <w:p w14:paraId="09183338" w14:textId="77777777" w:rsidR="00237347" w:rsidRDefault="00237347" w:rsidP="00390136">
            <w:pPr>
              <w:cnfStyle w:val="000000000000" w:firstRow="0" w:lastRow="0" w:firstColumn="0" w:lastColumn="0" w:oddVBand="0" w:evenVBand="0" w:oddHBand="0" w:evenHBand="0" w:firstRowFirstColumn="0" w:firstRowLastColumn="0" w:lastRowFirstColumn="0" w:lastRowLastColumn="0"/>
            </w:pPr>
            <w:r>
              <w:t>Security Source</w:t>
            </w:r>
          </w:p>
          <w:p w14:paraId="007198D4" w14:textId="77777777" w:rsidR="00237347" w:rsidRDefault="00237347" w:rsidP="00390136">
            <w:pPr>
              <w:cnfStyle w:val="000000000000" w:firstRow="0" w:lastRow="0" w:firstColumn="0" w:lastColumn="0" w:oddVBand="0" w:evenVBand="0" w:oddHBand="0" w:evenHBand="0" w:firstRowFirstColumn="0" w:firstRowLastColumn="0" w:lastRowFirstColumn="0" w:lastRowLastColumn="0"/>
            </w:pPr>
            <w:r>
              <w:t>Security Verifier</w:t>
            </w:r>
          </w:p>
          <w:p w14:paraId="2100BA4F" w14:textId="77777777" w:rsidR="00237347" w:rsidRDefault="00237347" w:rsidP="00390136">
            <w:pPr>
              <w:cnfStyle w:val="000000000000" w:firstRow="0" w:lastRow="0" w:firstColumn="0" w:lastColumn="0" w:oddVBand="0" w:evenVBand="0" w:oddHBand="0" w:evenHBand="0" w:firstRowFirstColumn="0" w:firstRowLastColumn="0" w:lastRowFirstColumn="0" w:lastRowLastColumn="0"/>
            </w:pPr>
            <w:r>
              <w:t>Security Acceptor</w:t>
            </w:r>
          </w:p>
        </w:tc>
        <w:tc>
          <w:tcPr>
            <w:tcW w:w="1615" w:type="dxa"/>
            <w:tcBorders>
              <w:top w:val="single" w:sz="4" w:space="0" w:color="auto"/>
            </w:tcBorders>
          </w:tcPr>
          <w:p w14:paraId="33F83281" w14:textId="77777777" w:rsidR="00237347" w:rsidRDefault="00237347" w:rsidP="00390136">
            <w:pPr>
              <w:cnfStyle w:val="000000000000" w:firstRow="0" w:lastRow="0" w:firstColumn="0" w:lastColumn="0" w:oddVBand="0" w:evenVBand="0" w:oddHBand="0" w:evenHBand="0" w:firstRowFirstColumn="0" w:firstRowLastColumn="0" w:lastRowFirstColumn="0" w:lastRowLastColumn="0"/>
            </w:pPr>
            <w:r>
              <w:t>This document</w:t>
            </w:r>
          </w:p>
        </w:tc>
      </w:tr>
      <w:tr w:rsidR="00237347" w14:paraId="39F350F2" w14:textId="77777777" w:rsidTr="00390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6B364C6" w14:textId="77777777" w:rsidR="00237347" w:rsidRPr="008E2AB7" w:rsidRDefault="00237347" w:rsidP="00390136">
            <w:pPr>
              <w:rPr>
                <w:b w:val="0"/>
              </w:rPr>
            </w:pPr>
            <w:r w:rsidRPr="008E2AB7">
              <w:rPr>
                <w:b w:val="0"/>
              </w:rPr>
              <w:t>Supported Suites</w:t>
            </w:r>
          </w:p>
        </w:tc>
        <w:tc>
          <w:tcPr>
            <w:tcW w:w="3690" w:type="dxa"/>
          </w:tcPr>
          <w:p w14:paraId="7B2DCB28" w14:textId="77777777" w:rsidR="00237347" w:rsidRDefault="00237347" w:rsidP="00390136">
            <w:pPr>
              <w:cnfStyle w:val="000000100000" w:firstRow="0" w:lastRow="0" w:firstColumn="0" w:lastColumn="0" w:oddVBand="0" w:evenVBand="0" w:oddHBand="1" w:evenHBand="0" w:firstRowFirstColumn="0" w:firstRowLastColumn="0" w:lastRowFirstColumn="0" w:lastRowLastColumn="0"/>
            </w:pPr>
            <w:r>
              <w:t>Integer, Agency-Specific</w:t>
            </w:r>
          </w:p>
        </w:tc>
        <w:tc>
          <w:tcPr>
            <w:tcW w:w="1615" w:type="dxa"/>
          </w:tcPr>
          <w:p w14:paraId="26D7A575" w14:textId="77777777" w:rsidR="00237347" w:rsidRDefault="00237347" w:rsidP="00390136">
            <w:pPr>
              <w:cnfStyle w:val="000000100000" w:firstRow="0" w:lastRow="0" w:firstColumn="0" w:lastColumn="0" w:oddVBand="0" w:evenVBand="0" w:oddHBand="1" w:evenHBand="0" w:firstRowFirstColumn="0" w:firstRowLastColumn="0" w:lastRowFirstColumn="0" w:lastRowLastColumn="0"/>
            </w:pPr>
          </w:p>
        </w:tc>
      </w:tr>
      <w:tr w:rsidR="00237347" w14:paraId="5968D5BC" w14:textId="77777777" w:rsidTr="00390136">
        <w:tc>
          <w:tcPr>
            <w:cnfStyle w:val="001000000000" w:firstRow="0" w:lastRow="0" w:firstColumn="1" w:lastColumn="0" w:oddVBand="0" w:evenVBand="0" w:oddHBand="0" w:evenHBand="0" w:firstRowFirstColumn="0" w:firstRowLastColumn="0" w:lastRowFirstColumn="0" w:lastRowLastColumn="0"/>
            <w:tcW w:w="3685" w:type="dxa"/>
          </w:tcPr>
          <w:p w14:paraId="46752CC7" w14:textId="77777777" w:rsidR="00237347" w:rsidRPr="008E2AB7" w:rsidRDefault="00237347" w:rsidP="00390136">
            <w:pPr>
              <w:rPr>
                <w:b w:val="0"/>
              </w:rPr>
            </w:pPr>
            <w:r>
              <w:rPr>
                <w:b w:val="0"/>
              </w:rPr>
              <w:t>Expected security blocks</w:t>
            </w:r>
          </w:p>
        </w:tc>
        <w:tc>
          <w:tcPr>
            <w:tcW w:w="3690" w:type="dxa"/>
          </w:tcPr>
          <w:p w14:paraId="1843B878" w14:textId="77777777" w:rsidR="00237347" w:rsidRDefault="00237347" w:rsidP="00390136">
            <w:pPr>
              <w:cnfStyle w:val="000000000000" w:firstRow="0" w:lastRow="0" w:firstColumn="0" w:lastColumn="0" w:oddVBand="0" w:evenVBand="0" w:oddHBand="0" w:evenHBand="0" w:firstRowFirstColumn="0" w:firstRowLastColumn="0" w:lastRowFirstColumn="0" w:lastRowLastColumn="0"/>
            </w:pPr>
            <w:r>
              <w:t>Block Type(s)</w:t>
            </w:r>
          </w:p>
        </w:tc>
        <w:tc>
          <w:tcPr>
            <w:tcW w:w="1615" w:type="dxa"/>
          </w:tcPr>
          <w:p w14:paraId="790895D4" w14:textId="77777777" w:rsidR="00237347" w:rsidRDefault="00237347" w:rsidP="00390136">
            <w:pPr>
              <w:cnfStyle w:val="000000000000" w:firstRow="0" w:lastRow="0" w:firstColumn="0" w:lastColumn="0" w:oddVBand="0" w:evenVBand="0" w:oddHBand="0" w:evenHBand="0" w:firstRowFirstColumn="0" w:firstRowLastColumn="0" w:lastRowFirstColumn="0" w:lastRowLastColumn="0"/>
            </w:pPr>
          </w:p>
        </w:tc>
      </w:tr>
      <w:tr w:rsidR="00237347" w14:paraId="47AC0571" w14:textId="77777777" w:rsidTr="00390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5DC608B" w14:textId="77777777" w:rsidR="00237347" w:rsidRPr="008E2AB7" w:rsidRDefault="00237347" w:rsidP="00390136">
            <w:pPr>
              <w:rPr>
                <w:b w:val="0"/>
              </w:rPr>
            </w:pPr>
            <w:r w:rsidRPr="008E2AB7">
              <w:rPr>
                <w:b w:val="0"/>
              </w:rPr>
              <w:t xml:space="preserve">Known </w:t>
            </w:r>
            <w:r>
              <w:rPr>
                <w:b w:val="0"/>
              </w:rPr>
              <w:t>Suite Keys</w:t>
            </w:r>
          </w:p>
        </w:tc>
        <w:tc>
          <w:tcPr>
            <w:tcW w:w="3690" w:type="dxa"/>
          </w:tcPr>
          <w:p w14:paraId="127086C5" w14:textId="77777777" w:rsidR="00237347" w:rsidRDefault="00237347" w:rsidP="00390136">
            <w:pPr>
              <w:cnfStyle w:val="000000100000" w:firstRow="0" w:lastRow="0" w:firstColumn="0" w:lastColumn="0" w:oddVBand="0" w:evenVBand="0" w:oddHBand="1" w:evenHBand="0" w:firstRowFirstColumn="0" w:firstRowLastColumn="0" w:lastRowFirstColumn="0" w:lastRowLastColumn="0"/>
            </w:pPr>
            <w:r>
              <w:t>Algorithm-specific, Agency-Specific</w:t>
            </w:r>
          </w:p>
        </w:tc>
        <w:tc>
          <w:tcPr>
            <w:tcW w:w="1615" w:type="dxa"/>
          </w:tcPr>
          <w:p w14:paraId="01EEF7FB" w14:textId="77777777" w:rsidR="00237347" w:rsidRDefault="00237347" w:rsidP="00390136">
            <w:pPr>
              <w:cnfStyle w:val="000000100000" w:firstRow="0" w:lastRow="0" w:firstColumn="0" w:lastColumn="0" w:oddVBand="0" w:evenVBand="0" w:oddHBand="1" w:evenHBand="0" w:firstRowFirstColumn="0" w:firstRowLastColumn="0" w:lastRowFirstColumn="0" w:lastRowLastColumn="0"/>
            </w:pPr>
          </w:p>
        </w:tc>
      </w:tr>
    </w:tbl>
    <w:p w14:paraId="2D598ECE" w14:textId="77777777" w:rsidR="00237347" w:rsidRDefault="00237347" w:rsidP="00237347"/>
    <w:p w14:paraId="5FC83BA4" w14:textId="77777777" w:rsidR="00237347" w:rsidRDefault="00237347" w:rsidP="00237347"/>
    <w:p w14:paraId="1FA4F55F" w14:textId="1B62BBBE" w:rsidR="00237347" w:rsidRDefault="009039FA" w:rsidP="00237347">
      <w:pPr>
        <w:pStyle w:val="Heading3"/>
        <w:numPr>
          <w:ilvl w:val="2"/>
          <w:numId w:val="1"/>
        </w:numPr>
      </w:pPr>
      <w:r>
        <w:t>Security Context</w:t>
      </w:r>
      <w:r w:rsidR="00237347">
        <w:t xml:space="preserve"> Managed Parameters</w:t>
      </w:r>
    </w:p>
    <w:p w14:paraId="1665FB7B" w14:textId="77777777" w:rsidR="00237347" w:rsidRPr="008E2AB7" w:rsidRDefault="00237347" w:rsidP="00237347"/>
    <w:p w14:paraId="616D597A" w14:textId="462EFF8B" w:rsidR="00237347" w:rsidRDefault="009039FA" w:rsidP="00237347">
      <w:pPr>
        <w:jc w:val="both"/>
      </w:pPr>
      <w:r>
        <w:t xml:space="preserve">Security context </w:t>
      </w:r>
      <w:r w:rsidR="00237347">
        <w:t xml:space="preserve">managed parameters are those parameters associated with the </w:t>
      </w:r>
      <w:r>
        <w:t xml:space="preserve">security context </w:t>
      </w:r>
      <w:r w:rsidR="00237347">
        <w:t xml:space="preserve">of a SBSP security block, but managed and provided by the BPAs comprising the security source, security verifier (is appropriate) and security source of the security block as part of their local </w:t>
      </w:r>
      <w:r>
        <w:t>security context</w:t>
      </w:r>
      <w:r w:rsidR="00237347">
        <w:t xml:space="preserve"> parameters.</w:t>
      </w:r>
      <w:r w:rsidR="00237347" w:rsidRPr="00184129">
        <w:t xml:space="preserve"> </w:t>
      </w:r>
    </w:p>
    <w:p w14:paraId="3B0E7536" w14:textId="77777777" w:rsidR="00237347" w:rsidRDefault="00237347" w:rsidP="00237347">
      <w:pPr>
        <w:jc w:val="both"/>
      </w:pPr>
    </w:p>
    <w:p w14:paraId="555F7299" w14:textId="49F1FE31" w:rsidR="008241FE" w:rsidRDefault="00237347" w:rsidP="008241FE">
      <w:r>
        <w:t xml:space="preserve">The managed parameters of a specific </w:t>
      </w:r>
      <w:r w:rsidR="009039FA">
        <w:t>security context</w:t>
      </w:r>
      <w:r>
        <w:t xml:space="preserve"> definition must be provided in the </w:t>
      </w:r>
      <w:r w:rsidR="009039FA">
        <w:t xml:space="preserve">specification </w:t>
      </w:r>
      <w:r>
        <w:t xml:space="preserve">of the </w:t>
      </w:r>
      <w:r w:rsidR="009039FA">
        <w:t>security context</w:t>
      </w:r>
      <w:r>
        <w:t xml:space="preserve">. </w:t>
      </w:r>
      <w:bookmarkStart w:id="158" w:name="_Toc38978938"/>
      <w:bookmarkEnd w:id="158"/>
    </w:p>
    <w:p w14:paraId="541A00E6" w14:textId="77777777" w:rsidR="005047DF" w:rsidRDefault="005047DF">
      <w:pPr>
        <w:sectPr w:rsidR="005047DF" w:rsidSect="00A32DEB">
          <w:type w:val="continuous"/>
          <w:pgSz w:w="12240" w:h="15840"/>
          <w:pgMar w:top="1440" w:right="1440" w:bottom="1440" w:left="1440" w:header="547" w:footer="547" w:gutter="360"/>
          <w:pgNumType w:start="1" w:chapStyle="1"/>
          <w:cols w:space="720"/>
          <w:docGrid w:linePitch="360"/>
        </w:sectPr>
      </w:pPr>
    </w:p>
    <w:p w14:paraId="63346E3F" w14:textId="32C2D52C" w:rsidR="00332FF3" w:rsidRPr="001B79CE" w:rsidRDefault="00332FF3" w:rsidP="00394053">
      <w:pPr>
        <w:pStyle w:val="Heading8"/>
      </w:pPr>
      <w:r w:rsidRPr="001B79CE">
        <w:lastRenderedPageBreak/>
        <w:br/>
      </w:r>
      <w:r w:rsidRPr="001B79CE">
        <w:br/>
      </w:r>
      <w:bookmarkStart w:id="159" w:name="_Toc327792875"/>
      <w:bookmarkStart w:id="160" w:name="_Toc345513559"/>
      <w:bookmarkStart w:id="161" w:name="_Toc403538567"/>
      <w:bookmarkStart w:id="162" w:name="_Toc39246857"/>
      <w:r w:rsidRPr="001B79CE">
        <w:t xml:space="preserve">Protocol Implementation Conformance </w:t>
      </w:r>
      <w:r w:rsidRPr="001B79CE">
        <w:br/>
        <w:t>Statement (PICS) Proforma</w:t>
      </w:r>
      <w:r w:rsidRPr="001B79CE">
        <w:br/>
      </w:r>
      <w:r w:rsidR="006E5B12">
        <w:t xml:space="preserve"> </w:t>
      </w:r>
      <w:r w:rsidRPr="001B79CE">
        <w:br/>
        <w:t>(normative)</w:t>
      </w:r>
      <w:bookmarkEnd w:id="159"/>
      <w:bookmarkEnd w:id="160"/>
      <w:bookmarkEnd w:id="161"/>
      <w:bookmarkEnd w:id="162"/>
    </w:p>
    <w:p w14:paraId="6D765298" w14:textId="77777777" w:rsidR="00332FF3" w:rsidRPr="001B79CE" w:rsidRDefault="00332FF3" w:rsidP="00394053">
      <w:pPr>
        <w:pStyle w:val="Annex2"/>
      </w:pPr>
      <w:r w:rsidRPr="001B79CE">
        <w:t>INTRODUCTION</w:t>
      </w:r>
    </w:p>
    <w:p w14:paraId="6F4B825C" w14:textId="77777777" w:rsidR="00332FF3" w:rsidRPr="001B79CE" w:rsidRDefault="00332FF3" w:rsidP="00A32DEB">
      <w:pPr>
        <w:pStyle w:val="Annex3"/>
      </w:pPr>
      <w:r w:rsidRPr="001B79CE">
        <w:t>OVERVIEW</w:t>
      </w:r>
    </w:p>
    <w:p w14:paraId="3ED4E80D" w14:textId="77777777" w:rsidR="00332FF3" w:rsidRPr="001B79CE" w:rsidRDefault="00332FF3" w:rsidP="00332FF3">
      <w:r w:rsidRPr="001B79CE">
        <w:t>This annex provides the Implementation Conformance Statement (ICS) Requirements List (RL) for an implementation of [Specification]. The ICS for an implementation is generated by completing the RL in accordance with the instructions below. An implementation claiming conformance must satisfy the mandatory requirements referenced in the RL.</w:t>
      </w:r>
    </w:p>
    <w:p w14:paraId="08D71278" w14:textId="77777777" w:rsidR="00332FF3" w:rsidRPr="001B79CE" w:rsidRDefault="00332FF3" w:rsidP="00A32DEB">
      <w:pPr>
        <w:pStyle w:val="Annex3"/>
        <w:spacing w:before="480"/>
      </w:pPr>
      <w:bookmarkStart w:id="163" w:name="_Ref403538128"/>
      <w:r w:rsidRPr="001B79CE">
        <w:t>ABBREVIATIONS AND CONVENTIONS</w:t>
      </w:r>
      <w:bookmarkEnd w:id="163"/>
    </w:p>
    <w:p w14:paraId="3DEC2D9B" w14:textId="77777777" w:rsidR="00332FF3" w:rsidRPr="001B79CE" w:rsidRDefault="00332FF3" w:rsidP="00332FF3">
      <w:r w:rsidRPr="001B79CE">
        <w:t>The RL consists of information in tabular form. The status of features is indicated using the abbreviations and conventions described below.</w:t>
      </w:r>
    </w:p>
    <w:p w14:paraId="289E6D00" w14:textId="77777777" w:rsidR="00332FF3" w:rsidRPr="001B79CE" w:rsidRDefault="00332FF3" w:rsidP="00332FF3">
      <w:pPr>
        <w:keepNext/>
        <w:rPr>
          <w:u w:val="single"/>
        </w:rPr>
      </w:pPr>
      <w:r w:rsidRPr="001B79CE">
        <w:rPr>
          <w:u w:val="single"/>
        </w:rPr>
        <w:t>Item Column</w:t>
      </w:r>
    </w:p>
    <w:p w14:paraId="60C85CBC" w14:textId="77777777" w:rsidR="00332FF3" w:rsidRPr="001B79CE" w:rsidRDefault="00332FF3" w:rsidP="00332FF3">
      <w:r w:rsidRPr="001B79CE">
        <w:t>The item column contains sequential numbers for items in the table.</w:t>
      </w:r>
    </w:p>
    <w:p w14:paraId="019A79EF" w14:textId="77777777" w:rsidR="00332FF3" w:rsidRPr="001B79CE" w:rsidRDefault="00332FF3" w:rsidP="00332FF3">
      <w:pPr>
        <w:keepNext/>
        <w:rPr>
          <w:u w:val="single"/>
        </w:rPr>
      </w:pPr>
      <w:r w:rsidRPr="001B79CE">
        <w:rPr>
          <w:u w:val="single"/>
        </w:rPr>
        <w:t>Feature Column</w:t>
      </w:r>
    </w:p>
    <w:p w14:paraId="1E446CF0" w14:textId="77777777" w:rsidR="00332FF3" w:rsidRPr="001B79CE" w:rsidRDefault="00332FF3" w:rsidP="00332FF3">
      <w:r w:rsidRPr="001B79CE">
        <w:t xml:space="preserve">The feature column contains a brief descriptive name for a feature. It implicitly means </w:t>
      </w:r>
      <w:r>
        <w:t>‘</w:t>
      </w:r>
      <w:r w:rsidRPr="001B79CE">
        <w:t>Is this feature supported by the implementation?</w:t>
      </w:r>
      <w:r>
        <w:t>’</w:t>
      </w:r>
    </w:p>
    <w:p w14:paraId="421405FC" w14:textId="77777777" w:rsidR="00332FF3" w:rsidRPr="001B79CE" w:rsidRDefault="00332FF3" w:rsidP="00332FF3">
      <w:pPr>
        <w:rPr>
          <w:u w:val="single"/>
        </w:rPr>
      </w:pPr>
      <w:r w:rsidRPr="001B79CE">
        <w:rPr>
          <w:u w:val="single"/>
        </w:rPr>
        <w:t>Status Column</w:t>
      </w:r>
    </w:p>
    <w:p w14:paraId="15366EE0" w14:textId="77777777" w:rsidR="00332FF3" w:rsidRPr="001B79CE" w:rsidRDefault="00332FF3" w:rsidP="00332FF3">
      <w:r w:rsidRPr="001B79CE">
        <w:t>The status column uses the following notations:</w:t>
      </w:r>
    </w:p>
    <w:p w14:paraId="64484CC2" w14:textId="77777777" w:rsidR="00332FF3" w:rsidRPr="001B79CE" w:rsidRDefault="00332FF3" w:rsidP="00C818EF">
      <w:pPr>
        <w:pStyle w:val="List"/>
        <w:numPr>
          <w:ilvl w:val="0"/>
          <w:numId w:val="10"/>
        </w:numPr>
        <w:tabs>
          <w:tab w:val="clear" w:pos="360"/>
          <w:tab w:val="num" w:pos="720"/>
        </w:tabs>
        <w:ind w:left="720"/>
        <w:pPrChange w:id="164" w:author="Birrane, Edward J." w:date="2020-05-01T17:51:00Z">
          <w:pPr>
            <w:pStyle w:val="List"/>
            <w:numPr>
              <w:numId w:val="20"/>
            </w:numPr>
            <w:tabs>
              <w:tab w:val="num" w:pos="720"/>
            </w:tabs>
          </w:pPr>
        </w:pPrChange>
      </w:pPr>
      <w:r w:rsidRPr="001B79CE">
        <w:t>M</w:t>
      </w:r>
      <w:r w:rsidRPr="001B79CE">
        <w:tab/>
      </w:r>
      <w:r w:rsidRPr="001B79CE">
        <w:tab/>
        <w:t>mandatory;</w:t>
      </w:r>
    </w:p>
    <w:p w14:paraId="44B58FF5" w14:textId="77777777" w:rsidR="00332FF3" w:rsidRPr="001B79CE" w:rsidRDefault="00332FF3" w:rsidP="00C818EF">
      <w:pPr>
        <w:pStyle w:val="List"/>
        <w:numPr>
          <w:ilvl w:val="0"/>
          <w:numId w:val="10"/>
        </w:numPr>
        <w:tabs>
          <w:tab w:val="clear" w:pos="360"/>
          <w:tab w:val="num" w:pos="720"/>
        </w:tabs>
        <w:ind w:left="720"/>
        <w:pPrChange w:id="165" w:author="Birrane, Edward J." w:date="2020-05-01T17:51:00Z">
          <w:pPr>
            <w:pStyle w:val="List"/>
            <w:numPr>
              <w:numId w:val="20"/>
            </w:numPr>
            <w:tabs>
              <w:tab w:val="num" w:pos="720"/>
            </w:tabs>
          </w:pPr>
        </w:pPrChange>
      </w:pPr>
      <w:r w:rsidRPr="001B79CE">
        <w:t>O</w:t>
      </w:r>
      <w:r w:rsidRPr="001B79CE">
        <w:tab/>
      </w:r>
      <w:r w:rsidRPr="001B79CE">
        <w:tab/>
        <w:t>optional;</w:t>
      </w:r>
    </w:p>
    <w:p w14:paraId="04608FE9" w14:textId="77777777" w:rsidR="00332FF3" w:rsidRPr="001B79CE" w:rsidRDefault="00332FF3" w:rsidP="00C818EF">
      <w:pPr>
        <w:pStyle w:val="List"/>
        <w:numPr>
          <w:ilvl w:val="0"/>
          <w:numId w:val="10"/>
        </w:numPr>
        <w:tabs>
          <w:tab w:val="clear" w:pos="360"/>
          <w:tab w:val="num" w:pos="720"/>
        </w:tabs>
        <w:ind w:left="720"/>
        <w:pPrChange w:id="166" w:author="Birrane, Edward J." w:date="2020-05-01T17:51:00Z">
          <w:pPr>
            <w:pStyle w:val="List"/>
            <w:numPr>
              <w:numId w:val="20"/>
            </w:numPr>
            <w:tabs>
              <w:tab w:val="num" w:pos="720"/>
            </w:tabs>
          </w:pPr>
        </w:pPrChange>
      </w:pPr>
      <w:r w:rsidRPr="001B79CE">
        <w:t>C</w:t>
      </w:r>
      <w:r w:rsidRPr="001B79CE">
        <w:tab/>
      </w:r>
      <w:r w:rsidRPr="001B79CE">
        <w:tab/>
        <w:t>conditional;</w:t>
      </w:r>
    </w:p>
    <w:p w14:paraId="077D9253" w14:textId="77777777" w:rsidR="00332FF3" w:rsidRPr="001B79CE" w:rsidRDefault="00332FF3" w:rsidP="00C818EF">
      <w:pPr>
        <w:pStyle w:val="List"/>
        <w:numPr>
          <w:ilvl w:val="0"/>
          <w:numId w:val="10"/>
        </w:numPr>
        <w:tabs>
          <w:tab w:val="clear" w:pos="360"/>
          <w:tab w:val="num" w:pos="720"/>
        </w:tabs>
        <w:ind w:left="720"/>
        <w:pPrChange w:id="167" w:author="Birrane, Edward J." w:date="2020-05-01T17:51:00Z">
          <w:pPr>
            <w:pStyle w:val="List"/>
            <w:numPr>
              <w:numId w:val="20"/>
            </w:numPr>
            <w:tabs>
              <w:tab w:val="num" w:pos="720"/>
            </w:tabs>
          </w:pPr>
        </w:pPrChange>
      </w:pPr>
      <w:r w:rsidRPr="001B79CE">
        <w:t>X</w:t>
      </w:r>
      <w:r w:rsidRPr="001B79CE">
        <w:tab/>
      </w:r>
      <w:r w:rsidRPr="001B79CE">
        <w:tab/>
        <w:t>prohibited;</w:t>
      </w:r>
    </w:p>
    <w:p w14:paraId="776321DC" w14:textId="77777777" w:rsidR="00332FF3" w:rsidRPr="001B79CE" w:rsidRDefault="00332FF3" w:rsidP="00C818EF">
      <w:pPr>
        <w:pStyle w:val="List"/>
        <w:numPr>
          <w:ilvl w:val="0"/>
          <w:numId w:val="10"/>
        </w:numPr>
        <w:tabs>
          <w:tab w:val="clear" w:pos="360"/>
          <w:tab w:val="num" w:pos="720"/>
        </w:tabs>
        <w:ind w:left="720"/>
        <w:pPrChange w:id="168" w:author="Birrane, Edward J." w:date="2020-05-01T17:51:00Z">
          <w:pPr>
            <w:pStyle w:val="List"/>
            <w:numPr>
              <w:numId w:val="20"/>
            </w:numPr>
            <w:tabs>
              <w:tab w:val="num" w:pos="720"/>
            </w:tabs>
          </w:pPr>
        </w:pPrChange>
      </w:pPr>
      <w:r w:rsidRPr="001B79CE">
        <w:t>I</w:t>
      </w:r>
      <w:r w:rsidRPr="001B79CE">
        <w:tab/>
      </w:r>
      <w:r w:rsidRPr="001B79CE">
        <w:tab/>
        <w:t>out of scope;</w:t>
      </w:r>
    </w:p>
    <w:p w14:paraId="3116FF77" w14:textId="77777777" w:rsidR="00332FF3" w:rsidRPr="001B79CE" w:rsidRDefault="00332FF3" w:rsidP="00C818EF">
      <w:pPr>
        <w:pStyle w:val="List"/>
        <w:numPr>
          <w:ilvl w:val="0"/>
          <w:numId w:val="10"/>
        </w:numPr>
        <w:tabs>
          <w:tab w:val="clear" w:pos="360"/>
          <w:tab w:val="num" w:pos="720"/>
        </w:tabs>
        <w:ind w:left="720"/>
        <w:pPrChange w:id="169" w:author="Birrane, Edward J." w:date="2020-05-01T17:51:00Z">
          <w:pPr>
            <w:pStyle w:val="List"/>
            <w:numPr>
              <w:numId w:val="20"/>
            </w:numPr>
            <w:tabs>
              <w:tab w:val="num" w:pos="720"/>
            </w:tabs>
          </w:pPr>
        </w:pPrChange>
      </w:pPr>
      <w:r w:rsidRPr="001B79CE">
        <w:t>N/A</w:t>
      </w:r>
      <w:r w:rsidRPr="001B79CE">
        <w:tab/>
      </w:r>
      <w:r w:rsidRPr="001B79CE">
        <w:tab/>
        <w:t>not applicable.</w:t>
      </w:r>
    </w:p>
    <w:p w14:paraId="5A534C86" w14:textId="77777777" w:rsidR="00332FF3" w:rsidRPr="001B79CE" w:rsidRDefault="00332FF3" w:rsidP="00332FF3">
      <w:pPr>
        <w:keepNext/>
        <w:spacing w:before="480"/>
        <w:rPr>
          <w:u w:val="single"/>
        </w:rPr>
      </w:pPr>
      <w:r w:rsidRPr="001B79CE">
        <w:rPr>
          <w:u w:val="single"/>
        </w:rPr>
        <w:t>Support Column Symbols</w:t>
      </w:r>
    </w:p>
    <w:p w14:paraId="48AB97C8" w14:textId="77777777" w:rsidR="00332FF3" w:rsidRPr="001B79CE" w:rsidRDefault="00332FF3" w:rsidP="00332FF3">
      <w:pPr>
        <w:keepNext/>
      </w:pPr>
      <w:r w:rsidRPr="001B79CE">
        <w:t>The support column is to be used by the implementer to state whether a feature is supported by entering Y, N, or N/A, indicating:</w:t>
      </w:r>
    </w:p>
    <w:p w14:paraId="79EAAB18" w14:textId="77777777" w:rsidR="00332FF3" w:rsidRPr="001B79CE" w:rsidRDefault="00332FF3" w:rsidP="00332FF3">
      <w:pPr>
        <w:spacing w:before="120"/>
        <w:ind w:firstLine="720"/>
      </w:pPr>
      <w:r w:rsidRPr="001B79CE">
        <w:t>Y</w:t>
      </w:r>
      <w:r w:rsidRPr="001B79CE">
        <w:tab/>
        <w:t>Yes, supported by the implementation.</w:t>
      </w:r>
    </w:p>
    <w:p w14:paraId="3AB2B6F3" w14:textId="77777777" w:rsidR="00332FF3" w:rsidRPr="001B79CE" w:rsidRDefault="00332FF3" w:rsidP="00332FF3">
      <w:pPr>
        <w:spacing w:before="120"/>
        <w:ind w:firstLine="720"/>
      </w:pPr>
      <w:r w:rsidRPr="001B79CE">
        <w:t>N</w:t>
      </w:r>
      <w:r w:rsidRPr="001B79CE">
        <w:tab/>
        <w:t>No, not supported by the implementation.</w:t>
      </w:r>
    </w:p>
    <w:p w14:paraId="75214C3C" w14:textId="77777777" w:rsidR="00332FF3" w:rsidRPr="001B79CE" w:rsidRDefault="00332FF3" w:rsidP="00332FF3">
      <w:pPr>
        <w:spacing w:before="120"/>
        <w:ind w:firstLine="720"/>
      </w:pPr>
      <w:r w:rsidRPr="001B79CE">
        <w:t>N/A</w:t>
      </w:r>
      <w:r w:rsidRPr="001B79CE">
        <w:tab/>
        <w:t>Not applicable.</w:t>
      </w:r>
    </w:p>
    <w:p w14:paraId="19769056" w14:textId="77777777" w:rsidR="00332FF3" w:rsidRPr="001B79CE" w:rsidRDefault="00332FF3" w:rsidP="00332FF3">
      <w:r w:rsidRPr="001B79CE">
        <w:lastRenderedPageBreak/>
        <w:t>The support column should also be used, when appropriate, to enter values supported for a given capability.</w:t>
      </w:r>
    </w:p>
    <w:p w14:paraId="748BF480" w14:textId="77777777" w:rsidR="00332FF3" w:rsidRPr="001B79CE" w:rsidRDefault="00332FF3" w:rsidP="00A32DEB">
      <w:pPr>
        <w:pStyle w:val="Annex3"/>
        <w:spacing w:before="480"/>
      </w:pPr>
      <w:r w:rsidRPr="001B79CE">
        <w:t>INSTRUCTIONS FOR COMPLETING THE RL</w:t>
      </w:r>
    </w:p>
    <w:p w14:paraId="382FDAB8" w14:textId="77777777" w:rsidR="00332FF3" w:rsidRPr="001B79CE" w:rsidRDefault="00332FF3" w:rsidP="00332FF3">
      <w:r w:rsidRPr="001B79CE">
        <w:t xml:space="preserve">An implementer shows the extent of compliance to the Recommended Standard by completing the RL; that is, the state of compliance with all mandatory requirements and the options supported are shown. The resulting completed RL is called an ICS. The implementer shall complete the RL by entering appropriate responses in the support or values supported column, using the notation described in </w:t>
      </w:r>
      <w:r w:rsidRPr="001B79CE">
        <w:fldChar w:fldCharType="begin"/>
      </w:r>
      <w:r w:rsidRPr="001B79CE">
        <w:instrText xml:space="preserve"> REF _Ref403538128 \r \h </w:instrText>
      </w:r>
      <w:r w:rsidRPr="001B79CE">
        <w:fldChar w:fldCharType="separate"/>
      </w:r>
      <w:r w:rsidR="000969EC">
        <w:t>A1.2</w:t>
      </w:r>
      <w:r w:rsidRPr="001B79CE">
        <w:fldChar w:fldCharType="end"/>
      </w:r>
      <w:r w:rsidRPr="001B79CE">
        <w:t>. If a conditional requirement is inapplicable, N/A should be used. If a mandatory requirement is not satisfied, exception information must be supplied by entering a reference X</w:t>
      </w:r>
      <w:r w:rsidRPr="001B79CE">
        <w:rPr>
          <w:i/>
        </w:rPr>
        <w:t>i</w:t>
      </w:r>
      <w:r w:rsidRPr="001B79CE">
        <w:t xml:space="preserve">, where </w:t>
      </w:r>
      <w:proofErr w:type="spellStart"/>
      <w:r w:rsidRPr="001B79CE">
        <w:rPr>
          <w:i/>
        </w:rPr>
        <w:t>i</w:t>
      </w:r>
      <w:proofErr w:type="spellEnd"/>
      <w:r w:rsidRPr="001B79CE">
        <w:t xml:space="preserve"> is a unique identifier, to an accompanying rationale for the noncompliance.</w:t>
      </w:r>
    </w:p>
    <w:p w14:paraId="1EE6A760" w14:textId="77777777" w:rsidR="00332FF3" w:rsidRPr="001B79CE" w:rsidRDefault="00332FF3" w:rsidP="005278C3">
      <w:pPr>
        <w:pStyle w:val="Annex2"/>
      </w:pPr>
      <w:r w:rsidRPr="001B79CE">
        <w:t>PICS PROFORMA FOR CCSDS Streamlined Bundle Security Protocol</w:t>
      </w:r>
    </w:p>
    <w:p w14:paraId="11AFE23F" w14:textId="77777777" w:rsidR="00332FF3" w:rsidRPr="001B79CE" w:rsidRDefault="00332FF3" w:rsidP="00A32DEB">
      <w:pPr>
        <w:pStyle w:val="Annex3"/>
      </w:pPr>
      <w:r w:rsidRPr="001B79CE">
        <w:t>GENERAL INFORMATION</w:t>
      </w:r>
    </w:p>
    <w:p w14:paraId="23875298" w14:textId="77777777" w:rsidR="00332FF3" w:rsidRPr="001B79CE" w:rsidRDefault="00332FF3" w:rsidP="00A32DEB">
      <w:pPr>
        <w:pStyle w:val="Annex4"/>
        <w:spacing w:after="240"/>
      </w:pPr>
      <w:r w:rsidRPr="001B79CE">
        <w:t>Identification of ICS</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330"/>
        <w:gridCol w:w="5868"/>
      </w:tblGrid>
      <w:tr w:rsidR="00332FF3" w:rsidRPr="001B79CE" w14:paraId="6DADB229" w14:textId="77777777" w:rsidTr="00E85F56">
        <w:trPr>
          <w:cantSplit/>
        </w:trPr>
        <w:tc>
          <w:tcPr>
            <w:tcW w:w="3330" w:type="dxa"/>
            <w:shd w:val="clear" w:color="auto" w:fill="auto"/>
          </w:tcPr>
          <w:p w14:paraId="1978648B" w14:textId="77777777" w:rsidR="00332FF3" w:rsidRPr="001B79CE" w:rsidRDefault="00332FF3" w:rsidP="00E85F56">
            <w:pPr>
              <w:keepNext/>
              <w:rPr>
                <w:rFonts w:ascii="Arial" w:hAnsi="Arial" w:cs="Arial"/>
                <w:sz w:val="20"/>
              </w:rPr>
            </w:pPr>
            <w:r w:rsidRPr="001B79CE">
              <w:rPr>
                <w:rFonts w:ascii="Arial" w:hAnsi="Arial" w:cs="Arial"/>
                <w:sz w:val="20"/>
              </w:rPr>
              <w:t>Date of Statement (DD/MM/YYYY)</w:t>
            </w:r>
          </w:p>
        </w:tc>
        <w:tc>
          <w:tcPr>
            <w:tcW w:w="5868" w:type="dxa"/>
            <w:shd w:val="clear" w:color="auto" w:fill="auto"/>
          </w:tcPr>
          <w:p w14:paraId="3AB5DB60" w14:textId="77777777" w:rsidR="00332FF3" w:rsidRPr="001B79CE" w:rsidRDefault="00332FF3" w:rsidP="00E85F56">
            <w:pPr>
              <w:keepNext/>
              <w:rPr>
                <w:rFonts w:ascii="Arial" w:hAnsi="Arial" w:cs="Arial"/>
                <w:sz w:val="20"/>
              </w:rPr>
            </w:pPr>
          </w:p>
        </w:tc>
      </w:tr>
      <w:tr w:rsidR="00332FF3" w:rsidRPr="001B79CE" w14:paraId="58EA38E7" w14:textId="77777777" w:rsidTr="00E85F56">
        <w:trPr>
          <w:cantSplit/>
        </w:trPr>
        <w:tc>
          <w:tcPr>
            <w:tcW w:w="3330" w:type="dxa"/>
            <w:shd w:val="clear" w:color="auto" w:fill="auto"/>
          </w:tcPr>
          <w:p w14:paraId="3B98C941" w14:textId="77777777" w:rsidR="00332FF3" w:rsidRPr="001B79CE" w:rsidRDefault="00332FF3" w:rsidP="00E85F56">
            <w:pPr>
              <w:keepNext/>
              <w:rPr>
                <w:rFonts w:ascii="Arial" w:hAnsi="Arial" w:cs="Arial"/>
                <w:sz w:val="20"/>
              </w:rPr>
            </w:pPr>
            <w:r w:rsidRPr="001B79CE">
              <w:rPr>
                <w:rFonts w:ascii="Arial" w:hAnsi="Arial" w:cs="Arial"/>
                <w:sz w:val="20"/>
              </w:rPr>
              <w:t>ICS serial number</w:t>
            </w:r>
          </w:p>
        </w:tc>
        <w:tc>
          <w:tcPr>
            <w:tcW w:w="5868" w:type="dxa"/>
            <w:shd w:val="clear" w:color="auto" w:fill="auto"/>
          </w:tcPr>
          <w:p w14:paraId="6F6D8DEA" w14:textId="77777777" w:rsidR="00332FF3" w:rsidRPr="001B79CE" w:rsidRDefault="00332FF3" w:rsidP="00E85F56">
            <w:pPr>
              <w:keepNext/>
              <w:rPr>
                <w:rFonts w:ascii="Arial" w:hAnsi="Arial" w:cs="Arial"/>
                <w:sz w:val="20"/>
              </w:rPr>
            </w:pPr>
          </w:p>
        </w:tc>
      </w:tr>
      <w:tr w:rsidR="00332FF3" w:rsidRPr="001B79CE" w14:paraId="55607FD1" w14:textId="77777777" w:rsidTr="00E85F56">
        <w:trPr>
          <w:cantSplit/>
          <w:trHeight w:val="20"/>
        </w:trPr>
        <w:tc>
          <w:tcPr>
            <w:tcW w:w="3330" w:type="dxa"/>
            <w:shd w:val="clear" w:color="auto" w:fill="auto"/>
          </w:tcPr>
          <w:p w14:paraId="2C95C92A" w14:textId="77777777" w:rsidR="00332FF3" w:rsidRPr="001B79CE" w:rsidRDefault="00332FF3" w:rsidP="00E85F56">
            <w:pPr>
              <w:rPr>
                <w:rFonts w:ascii="Arial" w:hAnsi="Arial" w:cs="Arial"/>
                <w:sz w:val="20"/>
              </w:rPr>
            </w:pPr>
            <w:r w:rsidRPr="001B79CE">
              <w:rPr>
                <w:rFonts w:ascii="Arial" w:hAnsi="Arial" w:cs="Arial"/>
                <w:sz w:val="20"/>
              </w:rPr>
              <w:t>System Conformance statement cross-reference</w:t>
            </w:r>
          </w:p>
        </w:tc>
        <w:tc>
          <w:tcPr>
            <w:tcW w:w="5868" w:type="dxa"/>
            <w:shd w:val="clear" w:color="auto" w:fill="auto"/>
          </w:tcPr>
          <w:p w14:paraId="09532288" w14:textId="77777777" w:rsidR="00332FF3" w:rsidRPr="001B79CE" w:rsidRDefault="00332FF3" w:rsidP="00E85F56">
            <w:pPr>
              <w:rPr>
                <w:rFonts w:ascii="Arial" w:hAnsi="Arial" w:cs="Arial"/>
                <w:sz w:val="20"/>
              </w:rPr>
            </w:pPr>
          </w:p>
        </w:tc>
      </w:tr>
    </w:tbl>
    <w:p w14:paraId="7214488B" w14:textId="77777777" w:rsidR="00332FF3" w:rsidRPr="001B79CE" w:rsidRDefault="00332FF3" w:rsidP="00A32DEB">
      <w:pPr>
        <w:pStyle w:val="Annex4"/>
        <w:spacing w:before="480" w:after="240"/>
      </w:pPr>
      <w:r w:rsidRPr="001B79CE">
        <w:t>Identification of Implementation Under Test</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448"/>
        <w:gridCol w:w="6750"/>
      </w:tblGrid>
      <w:tr w:rsidR="00332FF3" w:rsidRPr="001B79CE" w14:paraId="77ECC477" w14:textId="77777777" w:rsidTr="00E85F56">
        <w:trPr>
          <w:cantSplit/>
        </w:trPr>
        <w:tc>
          <w:tcPr>
            <w:tcW w:w="2448" w:type="dxa"/>
            <w:shd w:val="clear" w:color="auto" w:fill="auto"/>
          </w:tcPr>
          <w:p w14:paraId="0F2FF19D" w14:textId="77777777" w:rsidR="00332FF3" w:rsidRPr="001B79CE" w:rsidRDefault="00332FF3" w:rsidP="00E85F56">
            <w:pPr>
              <w:rPr>
                <w:rFonts w:ascii="Arial" w:hAnsi="Arial" w:cs="Arial"/>
                <w:sz w:val="20"/>
              </w:rPr>
            </w:pPr>
            <w:r w:rsidRPr="001B79CE">
              <w:rPr>
                <w:rFonts w:ascii="Arial" w:hAnsi="Arial" w:cs="Arial"/>
                <w:sz w:val="20"/>
              </w:rPr>
              <w:t>Implementation Name</w:t>
            </w:r>
          </w:p>
        </w:tc>
        <w:tc>
          <w:tcPr>
            <w:tcW w:w="6750" w:type="dxa"/>
            <w:shd w:val="clear" w:color="auto" w:fill="auto"/>
          </w:tcPr>
          <w:p w14:paraId="3D54C3EA" w14:textId="77777777" w:rsidR="00332FF3" w:rsidRPr="001B79CE" w:rsidRDefault="00332FF3" w:rsidP="00E85F56">
            <w:pPr>
              <w:rPr>
                <w:rFonts w:ascii="Arial" w:hAnsi="Arial" w:cs="Arial"/>
                <w:sz w:val="20"/>
              </w:rPr>
            </w:pPr>
          </w:p>
        </w:tc>
      </w:tr>
      <w:tr w:rsidR="00332FF3" w:rsidRPr="001B79CE" w14:paraId="0A8B63CF" w14:textId="77777777" w:rsidTr="00E85F56">
        <w:trPr>
          <w:cantSplit/>
          <w:trHeight w:val="20"/>
        </w:trPr>
        <w:tc>
          <w:tcPr>
            <w:tcW w:w="2448" w:type="dxa"/>
            <w:shd w:val="clear" w:color="auto" w:fill="auto"/>
          </w:tcPr>
          <w:p w14:paraId="513A0EFA" w14:textId="77777777" w:rsidR="00332FF3" w:rsidRPr="001B79CE" w:rsidRDefault="00332FF3" w:rsidP="00E85F56">
            <w:pPr>
              <w:rPr>
                <w:rFonts w:ascii="Arial" w:hAnsi="Arial" w:cs="Arial"/>
                <w:sz w:val="20"/>
              </w:rPr>
            </w:pPr>
            <w:r w:rsidRPr="001B79CE">
              <w:rPr>
                <w:rFonts w:ascii="Arial" w:hAnsi="Arial" w:cs="Arial"/>
                <w:sz w:val="20"/>
              </w:rPr>
              <w:t>Implementation Version</w:t>
            </w:r>
          </w:p>
        </w:tc>
        <w:tc>
          <w:tcPr>
            <w:tcW w:w="6750" w:type="dxa"/>
            <w:shd w:val="clear" w:color="auto" w:fill="auto"/>
          </w:tcPr>
          <w:p w14:paraId="3B5D6F80" w14:textId="77777777" w:rsidR="00332FF3" w:rsidRPr="001B79CE" w:rsidRDefault="00332FF3" w:rsidP="00E85F56">
            <w:pPr>
              <w:rPr>
                <w:rFonts w:ascii="Arial" w:hAnsi="Arial" w:cs="Arial"/>
                <w:sz w:val="20"/>
              </w:rPr>
            </w:pPr>
          </w:p>
        </w:tc>
      </w:tr>
      <w:tr w:rsidR="00332FF3" w:rsidRPr="001B79CE" w14:paraId="3BA66336" w14:textId="77777777" w:rsidTr="00E85F56">
        <w:trPr>
          <w:cantSplit/>
        </w:trPr>
        <w:tc>
          <w:tcPr>
            <w:tcW w:w="2448" w:type="dxa"/>
            <w:shd w:val="clear" w:color="auto" w:fill="auto"/>
          </w:tcPr>
          <w:p w14:paraId="2080BBAA" w14:textId="77777777" w:rsidR="00332FF3" w:rsidRPr="001B79CE" w:rsidRDefault="00332FF3" w:rsidP="00E85F56">
            <w:pPr>
              <w:rPr>
                <w:rFonts w:ascii="Arial" w:hAnsi="Arial" w:cs="Arial"/>
                <w:sz w:val="20"/>
              </w:rPr>
            </w:pPr>
            <w:r w:rsidRPr="001B79CE">
              <w:rPr>
                <w:rFonts w:ascii="Arial" w:hAnsi="Arial" w:cs="Arial"/>
                <w:sz w:val="20"/>
              </w:rPr>
              <w:t>Special Configuration</w:t>
            </w:r>
          </w:p>
        </w:tc>
        <w:tc>
          <w:tcPr>
            <w:tcW w:w="6750" w:type="dxa"/>
            <w:shd w:val="clear" w:color="auto" w:fill="auto"/>
          </w:tcPr>
          <w:p w14:paraId="05AC3CD5" w14:textId="77777777" w:rsidR="00332FF3" w:rsidRPr="001B79CE" w:rsidRDefault="00332FF3" w:rsidP="00E85F56">
            <w:pPr>
              <w:rPr>
                <w:rFonts w:ascii="Arial" w:hAnsi="Arial" w:cs="Arial"/>
                <w:sz w:val="20"/>
              </w:rPr>
            </w:pPr>
          </w:p>
        </w:tc>
      </w:tr>
      <w:tr w:rsidR="00332FF3" w:rsidRPr="001B79CE" w14:paraId="0A017546" w14:textId="77777777" w:rsidTr="00E85F56">
        <w:trPr>
          <w:cantSplit/>
        </w:trPr>
        <w:tc>
          <w:tcPr>
            <w:tcW w:w="2448" w:type="dxa"/>
            <w:shd w:val="clear" w:color="auto" w:fill="auto"/>
          </w:tcPr>
          <w:p w14:paraId="7938F26B" w14:textId="77777777" w:rsidR="00332FF3" w:rsidRPr="001B79CE" w:rsidRDefault="00332FF3" w:rsidP="00E85F56">
            <w:pPr>
              <w:rPr>
                <w:rFonts w:ascii="Arial" w:hAnsi="Arial" w:cs="Arial"/>
                <w:sz w:val="20"/>
              </w:rPr>
            </w:pPr>
            <w:r w:rsidRPr="001B79CE">
              <w:rPr>
                <w:rFonts w:ascii="Arial" w:hAnsi="Arial" w:cs="Arial"/>
                <w:sz w:val="20"/>
              </w:rPr>
              <w:t>Other Information</w:t>
            </w:r>
          </w:p>
        </w:tc>
        <w:tc>
          <w:tcPr>
            <w:tcW w:w="6750" w:type="dxa"/>
            <w:shd w:val="clear" w:color="auto" w:fill="auto"/>
          </w:tcPr>
          <w:p w14:paraId="18B8F0FA" w14:textId="77777777" w:rsidR="00332FF3" w:rsidRPr="001B79CE" w:rsidRDefault="00332FF3" w:rsidP="00E85F56">
            <w:pPr>
              <w:rPr>
                <w:rFonts w:ascii="Arial" w:hAnsi="Arial" w:cs="Arial"/>
                <w:sz w:val="20"/>
              </w:rPr>
            </w:pPr>
          </w:p>
        </w:tc>
      </w:tr>
    </w:tbl>
    <w:p w14:paraId="74FCB8B9" w14:textId="77777777" w:rsidR="00332FF3" w:rsidRPr="001B79CE" w:rsidRDefault="00332FF3" w:rsidP="00A32DEB">
      <w:pPr>
        <w:pStyle w:val="Annex4"/>
        <w:spacing w:before="480" w:after="240"/>
      </w:pPr>
      <w:r w:rsidRPr="001B79CE">
        <w:t>Identification of Supplier</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4068"/>
        <w:gridCol w:w="5148"/>
      </w:tblGrid>
      <w:tr w:rsidR="00332FF3" w:rsidRPr="001B79CE" w14:paraId="38755774" w14:textId="77777777" w:rsidTr="00E85F56">
        <w:trPr>
          <w:cantSplit/>
        </w:trPr>
        <w:tc>
          <w:tcPr>
            <w:tcW w:w="4068" w:type="dxa"/>
            <w:shd w:val="clear" w:color="auto" w:fill="auto"/>
          </w:tcPr>
          <w:p w14:paraId="1E477730" w14:textId="77777777" w:rsidR="00332FF3" w:rsidRPr="001B79CE" w:rsidRDefault="00332FF3" w:rsidP="00E85F56">
            <w:pPr>
              <w:keepNext/>
              <w:rPr>
                <w:rFonts w:ascii="Arial" w:hAnsi="Arial" w:cs="Arial"/>
                <w:sz w:val="20"/>
              </w:rPr>
            </w:pPr>
            <w:r w:rsidRPr="001B79CE">
              <w:rPr>
                <w:rFonts w:ascii="Arial" w:hAnsi="Arial" w:cs="Arial"/>
                <w:sz w:val="20"/>
              </w:rPr>
              <w:t>Supplier</w:t>
            </w:r>
          </w:p>
        </w:tc>
        <w:tc>
          <w:tcPr>
            <w:tcW w:w="5148" w:type="dxa"/>
            <w:shd w:val="clear" w:color="auto" w:fill="auto"/>
          </w:tcPr>
          <w:p w14:paraId="36B42828" w14:textId="77777777" w:rsidR="00332FF3" w:rsidRPr="001B79CE" w:rsidRDefault="00332FF3" w:rsidP="00E85F56">
            <w:pPr>
              <w:keepNext/>
              <w:rPr>
                <w:rFonts w:ascii="Arial" w:hAnsi="Arial" w:cs="Arial"/>
                <w:sz w:val="20"/>
              </w:rPr>
            </w:pPr>
          </w:p>
        </w:tc>
      </w:tr>
      <w:tr w:rsidR="00332FF3" w:rsidRPr="001B79CE" w14:paraId="7D960D53" w14:textId="77777777" w:rsidTr="00E85F56">
        <w:trPr>
          <w:cantSplit/>
        </w:trPr>
        <w:tc>
          <w:tcPr>
            <w:tcW w:w="4068" w:type="dxa"/>
            <w:shd w:val="clear" w:color="auto" w:fill="auto"/>
          </w:tcPr>
          <w:p w14:paraId="08A8DD94" w14:textId="77777777" w:rsidR="00332FF3" w:rsidRPr="001B79CE" w:rsidRDefault="00332FF3" w:rsidP="00E85F56">
            <w:pPr>
              <w:keepNext/>
              <w:rPr>
                <w:rFonts w:ascii="Arial" w:hAnsi="Arial" w:cs="Arial"/>
                <w:sz w:val="20"/>
              </w:rPr>
            </w:pPr>
            <w:r w:rsidRPr="001B79CE">
              <w:rPr>
                <w:rFonts w:ascii="Arial" w:hAnsi="Arial" w:cs="Arial"/>
                <w:sz w:val="20"/>
              </w:rPr>
              <w:t>Contact Point for Queries</w:t>
            </w:r>
          </w:p>
        </w:tc>
        <w:tc>
          <w:tcPr>
            <w:tcW w:w="5148" w:type="dxa"/>
            <w:shd w:val="clear" w:color="auto" w:fill="auto"/>
          </w:tcPr>
          <w:p w14:paraId="51492179" w14:textId="77777777" w:rsidR="00332FF3" w:rsidRPr="001B79CE" w:rsidRDefault="00332FF3" w:rsidP="00E85F56">
            <w:pPr>
              <w:keepNext/>
              <w:rPr>
                <w:rFonts w:ascii="Arial" w:hAnsi="Arial" w:cs="Arial"/>
                <w:sz w:val="20"/>
              </w:rPr>
            </w:pPr>
          </w:p>
        </w:tc>
      </w:tr>
      <w:tr w:rsidR="00332FF3" w:rsidRPr="001B79CE" w14:paraId="1C4C4F25" w14:textId="77777777" w:rsidTr="00E85F56">
        <w:trPr>
          <w:cantSplit/>
        </w:trPr>
        <w:tc>
          <w:tcPr>
            <w:tcW w:w="4068" w:type="dxa"/>
            <w:shd w:val="clear" w:color="auto" w:fill="auto"/>
          </w:tcPr>
          <w:p w14:paraId="008A185A" w14:textId="77777777" w:rsidR="00332FF3" w:rsidRPr="001B79CE" w:rsidRDefault="00332FF3" w:rsidP="00E85F56">
            <w:pPr>
              <w:keepNext/>
              <w:rPr>
                <w:rFonts w:ascii="Arial" w:hAnsi="Arial" w:cs="Arial"/>
                <w:sz w:val="20"/>
              </w:rPr>
            </w:pPr>
            <w:r w:rsidRPr="001B79CE">
              <w:rPr>
                <w:rFonts w:ascii="Arial" w:hAnsi="Arial" w:cs="Arial"/>
                <w:sz w:val="20"/>
              </w:rPr>
              <w:t>Implementation Name(s) and Versions</w:t>
            </w:r>
          </w:p>
        </w:tc>
        <w:tc>
          <w:tcPr>
            <w:tcW w:w="5148" w:type="dxa"/>
            <w:shd w:val="clear" w:color="auto" w:fill="auto"/>
          </w:tcPr>
          <w:p w14:paraId="4CD4D716" w14:textId="77777777" w:rsidR="00332FF3" w:rsidRPr="001B79CE" w:rsidRDefault="00332FF3" w:rsidP="00E85F56">
            <w:pPr>
              <w:keepNext/>
              <w:rPr>
                <w:rFonts w:ascii="Arial" w:hAnsi="Arial" w:cs="Arial"/>
                <w:sz w:val="20"/>
              </w:rPr>
            </w:pPr>
          </w:p>
        </w:tc>
      </w:tr>
      <w:tr w:rsidR="00332FF3" w:rsidRPr="001B79CE" w14:paraId="2FC308C9" w14:textId="77777777" w:rsidTr="00E85F56">
        <w:trPr>
          <w:cantSplit/>
          <w:trHeight w:val="20"/>
        </w:trPr>
        <w:tc>
          <w:tcPr>
            <w:tcW w:w="4068" w:type="dxa"/>
            <w:shd w:val="clear" w:color="auto" w:fill="auto"/>
          </w:tcPr>
          <w:p w14:paraId="36850FD0" w14:textId="77777777" w:rsidR="00332FF3" w:rsidRPr="001B79CE" w:rsidRDefault="00332FF3" w:rsidP="00E85F56">
            <w:pPr>
              <w:rPr>
                <w:rFonts w:ascii="Arial" w:hAnsi="Arial" w:cs="Arial"/>
                <w:sz w:val="20"/>
              </w:rPr>
            </w:pPr>
            <w:r w:rsidRPr="001B79CE">
              <w:rPr>
                <w:rFonts w:ascii="Arial" w:hAnsi="Arial" w:cs="Arial"/>
                <w:sz w:val="20"/>
              </w:rPr>
              <w:t>Other information necessary for full identification, e.g., name(s) and version(s) for machines and/or operating systems;</w:t>
            </w:r>
          </w:p>
          <w:p w14:paraId="29BC8272" w14:textId="77777777" w:rsidR="00332FF3" w:rsidRPr="001B79CE" w:rsidRDefault="00332FF3" w:rsidP="00E85F56">
            <w:pPr>
              <w:rPr>
                <w:rFonts w:ascii="Arial" w:hAnsi="Arial" w:cs="Arial"/>
                <w:sz w:val="20"/>
              </w:rPr>
            </w:pPr>
          </w:p>
          <w:p w14:paraId="3FE507C3" w14:textId="77777777" w:rsidR="00332FF3" w:rsidRPr="001B79CE" w:rsidRDefault="00332FF3" w:rsidP="00E85F56">
            <w:pPr>
              <w:rPr>
                <w:rFonts w:ascii="Arial" w:hAnsi="Arial" w:cs="Arial"/>
                <w:sz w:val="20"/>
              </w:rPr>
            </w:pPr>
            <w:r w:rsidRPr="001B79CE">
              <w:rPr>
                <w:rFonts w:ascii="Arial" w:hAnsi="Arial" w:cs="Arial"/>
                <w:sz w:val="20"/>
              </w:rPr>
              <w:t>System Name(s)</w:t>
            </w:r>
          </w:p>
        </w:tc>
        <w:tc>
          <w:tcPr>
            <w:tcW w:w="5148" w:type="dxa"/>
            <w:shd w:val="clear" w:color="auto" w:fill="auto"/>
          </w:tcPr>
          <w:p w14:paraId="50678E18" w14:textId="77777777" w:rsidR="00332FF3" w:rsidRPr="001B79CE" w:rsidRDefault="00332FF3" w:rsidP="00E85F56">
            <w:pPr>
              <w:rPr>
                <w:rFonts w:ascii="Arial" w:hAnsi="Arial" w:cs="Arial"/>
                <w:sz w:val="20"/>
              </w:rPr>
            </w:pPr>
          </w:p>
        </w:tc>
      </w:tr>
    </w:tbl>
    <w:p w14:paraId="6834C73B" w14:textId="77777777" w:rsidR="00332FF3" w:rsidRPr="001B79CE" w:rsidRDefault="00332FF3" w:rsidP="00A32DEB">
      <w:pPr>
        <w:pStyle w:val="Annex4"/>
        <w:spacing w:before="480" w:after="240"/>
      </w:pPr>
      <w:r w:rsidRPr="001B79CE">
        <w:lastRenderedPageBreak/>
        <w:t>Identification of Specification</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6505"/>
        <w:gridCol w:w="2711"/>
      </w:tblGrid>
      <w:tr w:rsidR="00332FF3" w:rsidRPr="001B79CE" w14:paraId="6F6E0F00" w14:textId="77777777" w:rsidTr="00E85F56">
        <w:trPr>
          <w:cantSplit/>
        </w:trPr>
        <w:tc>
          <w:tcPr>
            <w:tcW w:w="9216" w:type="dxa"/>
            <w:gridSpan w:val="2"/>
            <w:shd w:val="clear" w:color="auto" w:fill="auto"/>
          </w:tcPr>
          <w:p w14:paraId="4BCC15D3" w14:textId="77777777" w:rsidR="00332FF3" w:rsidRPr="001B79CE" w:rsidRDefault="00332FF3" w:rsidP="00E85F56">
            <w:pPr>
              <w:keepNext/>
              <w:rPr>
                <w:rFonts w:ascii="Arial" w:hAnsi="Arial" w:cs="Arial"/>
                <w:sz w:val="20"/>
              </w:rPr>
            </w:pPr>
            <w:r w:rsidRPr="001B79CE">
              <w:rPr>
                <w:rFonts w:ascii="Arial" w:hAnsi="Arial" w:cs="Arial"/>
                <w:sz w:val="20"/>
              </w:rPr>
              <w:t>[CCSDS Document Number]</w:t>
            </w:r>
          </w:p>
        </w:tc>
      </w:tr>
      <w:tr w:rsidR="00332FF3" w:rsidRPr="001B79CE" w14:paraId="60D2BC8E" w14:textId="77777777" w:rsidTr="00E85F56">
        <w:trPr>
          <w:cantSplit/>
        </w:trPr>
        <w:tc>
          <w:tcPr>
            <w:tcW w:w="6505" w:type="dxa"/>
            <w:shd w:val="clear" w:color="auto" w:fill="auto"/>
          </w:tcPr>
          <w:p w14:paraId="6C425A8C" w14:textId="77777777" w:rsidR="00332FF3" w:rsidRPr="001B79CE" w:rsidRDefault="00332FF3" w:rsidP="00E85F56">
            <w:pPr>
              <w:rPr>
                <w:rFonts w:ascii="Arial" w:hAnsi="Arial" w:cs="Arial"/>
                <w:sz w:val="20"/>
              </w:rPr>
            </w:pPr>
            <w:r w:rsidRPr="001B79CE">
              <w:rPr>
                <w:rFonts w:ascii="Arial" w:hAnsi="Arial" w:cs="Arial"/>
                <w:sz w:val="20"/>
              </w:rPr>
              <w:t>Have any exceptions been required?</w:t>
            </w:r>
          </w:p>
          <w:p w14:paraId="4898AE43" w14:textId="77777777" w:rsidR="00332FF3" w:rsidRPr="00A814BA" w:rsidRDefault="00332FF3" w:rsidP="00A814BA">
            <w:pPr>
              <w:pStyle w:val="Notelevel1"/>
            </w:pPr>
            <w:r w:rsidRPr="00A814BA">
              <w:rPr>
                <w:rFonts w:ascii="Arial" w:hAnsi="Arial" w:cs="Arial"/>
                <w:sz w:val="20"/>
              </w:rPr>
              <w:t>NOTE</w:t>
            </w:r>
            <w:r w:rsidRPr="00A814BA">
              <w:rPr>
                <w:rFonts w:ascii="Arial" w:hAnsi="Arial" w:cs="Arial"/>
                <w:sz w:val="20"/>
              </w:rPr>
              <w:tab/>
              <w:t>–</w:t>
            </w:r>
            <w:r w:rsidRPr="00A814BA">
              <w:rPr>
                <w:rFonts w:ascii="Arial" w:hAnsi="Arial" w:cs="Arial"/>
                <w:sz w:val="20"/>
              </w:rPr>
              <w:tab/>
              <w:t>A YES answer means that the implementation does not conform to the Recommended Standard. Non-supported mandatory capabilities are to be identified in the ICS, with an explanation of why the implementation is non-conforming.</w:t>
            </w:r>
          </w:p>
        </w:tc>
        <w:tc>
          <w:tcPr>
            <w:tcW w:w="2711" w:type="dxa"/>
            <w:shd w:val="clear" w:color="auto" w:fill="auto"/>
          </w:tcPr>
          <w:p w14:paraId="24620E7E" w14:textId="77777777" w:rsidR="00332FF3" w:rsidRPr="001B79CE" w:rsidRDefault="00332FF3" w:rsidP="00E85F56">
            <w:pPr>
              <w:rPr>
                <w:rFonts w:ascii="Arial" w:hAnsi="Arial" w:cs="Arial"/>
                <w:sz w:val="20"/>
              </w:rPr>
            </w:pPr>
            <w:r w:rsidRPr="001B79CE">
              <w:rPr>
                <w:rFonts w:ascii="Arial" w:hAnsi="Arial" w:cs="Arial"/>
                <w:sz w:val="20"/>
              </w:rPr>
              <w:t>Yes [  ]      No [  ]</w:t>
            </w:r>
          </w:p>
        </w:tc>
      </w:tr>
    </w:tbl>
    <w:p w14:paraId="0F988A0D" w14:textId="77777777" w:rsidR="00332FF3" w:rsidRPr="001B79CE" w:rsidRDefault="00332FF3" w:rsidP="00A32DEB">
      <w:pPr>
        <w:pStyle w:val="Annex3"/>
        <w:spacing w:before="480" w:after="240"/>
      </w:pPr>
      <w:r w:rsidRPr="001B79CE">
        <w:t>REQUIREMENTS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813"/>
        <w:gridCol w:w="1807"/>
        <w:gridCol w:w="1789"/>
        <w:gridCol w:w="1798"/>
      </w:tblGrid>
      <w:tr w:rsidR="00332FF3" w:rsidRPr="001B79CE" w14:paraId="6FB0F2B0" w14:textId="77777777" w:rsidTr="00E85F56">
        <w:tc>
          <w:tcPr>
            <w:tcW w:w="9216" w:type="dxa"/>
            <w:gridSpan w:val="5"/>
            <w:shd w:val="clear" w:color="auto" w:fill="auto"/>
          </w:tcPr>
          <w:p w14:paraId="69F4CEDD"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Classes</w:t>
            </w:r>
          </w:p>
        </w:tc>
      </w:tr>
      <w:tr w:rsidR="00332FF3" w:rsidRPr="001B79CE" w14:paraId="024D73B1" w14:textId="77777777" w:rsidTr="00E85F56">
        <w:tc>
          <w:tcPr>
            <w:tcW w:w="1843" w:type="dxa"/>
            <w:shd w:val="clear" w:color="auto" w:fill="auto"/>
          </w:tcPr>
          <w:p w14:paraId="725B342F"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Item</w:t>
            </w:r>
          </w:p>
        </w:tc>
        <w:tc>
          <w:tcPr>
            <w:tcW w:w="1843" w:type="dxa"/>
            <w:shd w:val="clear" w:color="auto" w:fill="auto"/>
          </w:tcPr>
          <w:p w14:paraId="2FEDDECB"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Description</w:t>
            </w:r>
          </w:p>
        </w:tc>
        <w:tc>
          <w:tcPr>
            <w:tcW w:w="1843" w:type="dxa"/>
            <w:shd w:val="clear" w:color="auto" w:fill="auto"/>
          </w:tcPr>
          <w:p w14:paraId="5388E4FE"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Reference</w:t>
            </w:r>
          </w:p>
        </w:tc>
        <w:tc>
          <w:tcPr>
            <w:tcW w:w="1843" w:type="dxa"/>
            <w:shd w:val="clear" w:color="auto" w:fill="auto"/>
          </w:tcPr>
          <w:p w14:paraId="45C5B68B"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Status</w:t>
            </w:r>
          </w:p>
        </w:tc>
        <w:tc>
          <w:tcPr>
            <w:tcW w:w="1844" w:type="dxa"/>
            <w:shd w:val="clear" w:color="auto" w:fill="auto"/>
          </w:tcPr>
          <w:p w14:paraId="4CF8DD45"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Support</w:t>
            </w:r>
          </w:p>
        </w:tc>
      </w:tr>
      <w:tr w:rsidR="00332FF3" w:rsidRPr="001B79CE" w14:paraId="1E0EA19C" w14:textId="77777777" w:rsidTr="00E85F56">
        <w:tc>
          <w:tcPr>
            <w:tcW w:w="1843" w:type="dxa"/>
            <w:shd w:val="clear" w:color="auto" w:fill="auto"/>
          </w:tcPr>
          <w:p w14:paraId="705BF5AF"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1</w:t>
            </w:r>
          </w:p>
        </w:tc>
        <w:tc>
          <w:tcPr>
            <w:tcW w:w="1843" w:type="dxa"/>
            <w:shd w:val="clear" w:color="auto" w:fill="auto"/>
          </w:tcPr>
          <w:p w14:paraId="12ED371C"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SBSP Support</w:t>
            </w:r>
          </w:p>
        </w:tc>
        <w:tc>
          <w:tcPr>
            <w:tcW w:w="1843" w:type="dxa"/>
            <w:shd w:val="clear" w:color="auto" w:fill="auto"/>
          </w:tcPr>
          <w:p w14:paraId="3167F362" w14:textId="7097BE71" w:rsidR="00332FF3" w:rsidRPr="001B79CE" w:rsidRDefault="00332FF3" w:rsidP="00E85F56">
            <w:pP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REF _Ref493084021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4.1.1.1</w:t>
            </w:r>
            <w:r>
              <w:rPr>
                <w:rFonts w:ascii="Calibri" w:eastAsia="Calibri" w:hAnsi="Calibri"/>
                <w:sz w:val="22"/>
                <w:szCs w:val="22"/>
              </w:rPr>
              <w:fldChar w:fldCharType="end"/>
            </w:r>
          </w:p>
        </w:tc>
        <w:tc>
          <w:tcPr>
            <w:tcW w:w="1843" w:type="dxa"/>
            <w:shd w:val="clear" w:color="auto" w:fill="auto"/>
          </w:tcPr>
          <w:p w14:paraId="7BF0B1A4"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M</w:t>
            </w:r>
          </w:p>
        </w:tc>
        <w:tc>
          <w:tcPr>
            <w:tcW w:w="1844" w:type="dxa"/>
            <w:shd w:val="clear" w:color="auto" w:fill="auto"/>
          </w:tcPr>
          <w:p w14:paraId="5BDBE5E0" w14:textId="77777777" w:rsidR="00332FF3" w:rsidRPr="001B79CE" w:rsidRDefault="00332FF3" w:rsidP="00E85F56">
            <w:pPr>
              <w:rPr>
                <w:rFonts w:ascii="Calibri" w:eastAsia="Calibri" w:hAnsi="Calibri"/>
                <w:sz w:val="22"/>
                <w:szCs w:val="22"/>
              </w:rPr>
            </w:pPr>
          </w:p>
        </w:tc>
      </w:tr>
    </w:tbl>
    <w:p w14:paraId="325AB258" w14:textId="77777777" w:rsidR="00332FF3" w:rsidRPr="001B79CE" w:rsidRDefault="00332FF3" w:rsidP="00332FF3">
      <w:r w:rsidRPr="001B79CE" w:rsidDel="0006632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988"/>
        <w:gridCol w:w="986"/>
        <w:gridCol w:w="997"/>
        <w:gridCol w:w="1014"/>
        <w:gridCol w:w="997"/>
        <w:gridCol w:w="1014"/>
        <w:gridCol w:w="997"/>
        <w:gridCol w:w="1014"/>
      </w:tblGrid>
      <w:tr w:rsidR="00332FF3" w:rsidRPr="001B79CE" w14:paraId="194CCF47" w14:textId="77777777" w:rsidTr="00E85F56">
        <w:tc>
          <w:tcPr>
            <w:tcW w:w="9216" w:type="dxa"/>
            <w:gridSpan w:val="9"/>
            <w:shd w:val="clear" w:color="auto" w:fill="auto"/>
          </w:tcPr>
          <w:p w14:paraId="5C78972F"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PDUs</w:t>
            </w:r>
          </w:p>
        </w:tc>
      </w:tr>
      <w:tr w:rsidR="00332FF3" w:rsidRPr="001B79CE" w14:paraId="2A4EEB1E" w14:textId="77777777" w:rsidTr="00E85F56">
        <w:tc>
          <w:tcPr>
            <w:tcW w:w="1024" w:type="dxa"/>
            <w:shd w:val="clear" w:color="auto" w:fill="auto"/>
          </w:tcPr>
          <w:p w14:paraId="32B88B2B" w14:textId="77777777" w:rsidR="00332FF3" w:rsidRPr="001B79CE" w:rsidRDefault="00332FF3" w:rsidP="00E85F56">
            <w:pPr>
              <w:jc w:val="center"/>
              <w:rPr>
                <w:rFonts w:ascii="Calibri" w:eastAsia="Calibri" w:hAnsi="Calibri"/>
                <w:sz w:val="22"/>
                <w:szCs w:val="22"/>
              </w:rPr>
            </w:pPr>
            <w:r w:rsidRPr="001B79CE">
              <w:rPr>
                <w:rFonts w:ascii="Calibri" w:eastAsia="Calibri" w:hAnsi="Calibri"/>
                <w:sz w:val="22"/>
                <w:szCs w:val="22"/>
              </w:rPr>
              <w:t>Item</w:t>
            </w:r>
          </w:p>
        </w:tc>
        <w:tc>
          <w:tcPr>
            <w:tcW w:w="1024" w:type="dxa"/>
            <w:shd w:val="clear" w:color="auto" w:fill="auto"/>
          </w:tcPr>
          <w:p w14:paraId="6CBFC92F" w14:textId="77777777" w:rsidR="00332FF3" w:rsidRPr="001B79CE" w:rsidRDefault="00332FF3" w:rsidP="00E85F56">
            <w:pPr>
              <w:jc w:val="center"/>
              <w:rPr>
                <w:rFonts w:ascii="Calibri" w:eastAsia="Calibri" w:hAnsi="Calibri"/>
                <w:sz w:val="22"/>
                <w:szCs w:val="22"/>
              </w:rPr>
            </w:pPr>
            <w:r w:rsidRPr="001B79CE">
              <w:rPr>
                <w:rFonts w:ascii="Calibri" w:eastAsia="Calibri" w:hAnsi="Calibri"/>
                <w:sz w:val="22"/>
                <w:szCs w:val="22"/>
              </w:rPr>
              <w:t>PDU</w:t>
            </w:r>
          </w:p>
        </w:tc>
        <w:tc>
          <w:tcPr>
            <w:tcW w:w="1024" w:type="dxa"/>
            <w:shd w:val="clear" w:color="auto" w:fill="auto"/>
          </w:tcPr>
          <w:p w14:paraId="149604BE" w14:textId="77777777" w:rsidR="00332FF3" w:rsidRPr="001B79CE" w:rsidRDefault="00332FF3" w:rsidP="00E85F56">
            <w:pPr>
              <w:jc w:val="center"/>
              <w:rPr>
                <w:rFonts w:ascii="Calibri" w:eastAsia="Calibri" w:hAnsi="Calibri"/>
                <w:sz w:val="22"/>
                <w:szCs w:val="22"/>
              </w:rPr>
            </w:pPr>
            <w:r w:rsidRPr="001B79CE">
              <w:rPr>
                <w:rFonts w:ascii="Calibri" w:eastAsia="Calibri" w:hAnsi="Calibri"/>
                <w:sz w:val="22"/>
                <w:szCs w:val="22"/>
              </w:rPr>
              <w:t>Ref.</w:t>
            </w:r>
          </w:p>
        </w:tc>
        <w:tc>
          <w:tcPr>
            <w:tcW w:w="2048" w:type="dxa"/>
            <w:gridSpan w:val="2"/>
            <w:shd w:val="clear" w:color="auto" w:fill="auto"/>
          </w:tcPr>
          <w:p w14:paraId="5A409974" w14:textId="77777777" w:rsidR="00332FF3" w:rsidRPr="001B79CE" w:rsidRDefault="00332FF3" w:rsidP="00E85F56">
            <w:pPr>
              <w:jc w:val="center"/>
              <w:rPr>
                <w:rFonts w:ascii="Calibri" w:eastAsia="Calibri" w:hAnsi="Calibri"/>
                <w:sz w:val="22"/>
                <w:szCs w:val="22"/>
              </w:rPr>
            </w:pPr>
            <w:r w:rsidRPr="001B79CE">
              <w:rPr>
                <w:rFonts w:ascii="Calibri" w:eastAsia="Calibri" w:hAnsi="Calibri"/>
                <w:sz w:val="22"/>
                <w:szCs w:val="22"/>
              </w:rPr>
              <w:t>Sender End-System</w:t>
            </w:r>
          </w:p>
        </w:tc>
        <w:tc>
          <w:tcPr>
            <w:tcW w:w="2048" w:type="dxa"/>
            <w:gridSpan w:val="2"/>
            <w:shd w:val="clear" w:color="auto" w:fill="auto"/>
          </w:tcPr>
          <w:p w14:paraId="7B4BEC53" w14:textId="77777777" w:rsidR="00332FF3" w:rsidRPr="001B79CE" w:rsidRDefault="00332FF3" w:rsidP="00E85F56">
            <w:pPr>
              <w:jc w:val="center"/>
              <w:rPr>
                <w:rFonts w:ascii="Calibri" w:eastAsia="Calibri" w:hAnsi="Calibri"/>
                <w:sz w:val="22"/>
                <w:szCs w:val="22"/>
              </w:rPr>
            </w:pPr>
            <w:r w:rsidRPr="001B79CE">
              <w:rPr>
                <w:rFonts w:ascii="Calibri" w:eastAsia="Calibri" w:hAnsi="Calibri"/>
                <w:sz w:val="22"/>
                <w:szCs w:val="22"/>
              </w:rPr>
              <w:t>Receiver End-System</w:t>
            </w:r>
          </w:p>
        </w:tc>
        <w:tc>
          <w:tcPr>
            <w:tcW w:w="2048" w:type="dxa"/>
            <w:gridSpan w:val="2"/>
            <w:shd w:val="clear" w:color="auto" w:fill="auto"/>
          </w:tcPr>
          <w:p w14:paraId="2AB62FA7" w14:textId="77777777" w:rsidR="00332FF3" w:rsidRPr="001B79CE" w:rsidRDefault="00332FF3" w:rsidP="00E85F56">
            <w:pPr>
              <w:jc w:val="center"/>
              <w:rPr>
                <w:rFonts w:ascii="Calibri" w:eastAsia="Calibri" w:hAnsi="Calibri"/>
                <w:sz w:val="22"/>
                <w:szCs w:val="22"/>
              </w:rPr>
            </w:pPr>
            <w:r w:rsidRPr="001B79CE">
              <w:rPr>
                <w:rFonts w:ascii="Calibri" w:eastAsia="Calibri" w:hAnsi="Calibri"/>
                <w:sz w:val="22"/>
                <w:szCs w:val="22"/>
              </w:rPr>
              <w:t>Relay</w:t>
            </w:r>
          </w:p>
        </w:tc>
      </w:tr>
      <w:tr w:rsidR="00332FF3" w:rsidRPr="001B79CE" w14:paraId="04E58058" w14:textId="77777777" w:rsidTr="00E85F56">
        <w:trPr>
          <w:trHeight w:val="188"/>
        </w:trPr>
        <w:tc>
          <w:tcPr>
            <w:tcW w:w="1024" w:type="dxa"/>
            <w:shd w:val="clear" w:color="auto" w:fill="auto"/>
          </w:tcPr>
          <w:p w14:paraId="309EA262" w14:textId="77777777" w:rsidR="00332FF3" w:rsidRPr="001B79CE" w:rsidRDefault="00332FF3" w:rsidP="00E85F56">
            <w:pPr>
              <w:rPr>
                <w:rFonts w:ascii="Calibri" w:eastAsia="Calibri" w:hAnsi="Calibri"/>
                <w:sz w:val="22"/>
                <w:szCs w:val="22"/>
              </w:rPr>
            </w:pPr>
          </w:p>
        </w:tc>
        <w:tc>
          <w:tcPr>
            <w:tcW w:w="1024" w:type="dxa"/>
            <w:shd w:val="clear" w:color="auto" w:fill="auto"/>
          </w:tcPr>
          <w:p w14:paraId="50C86430" w14:textId="77777777" w:rsidR="00332FF3" w:rsidRPr="001B79CE" w:rsidRDefault="00332FF3" w:rsidP="00E85F56">
            <w:pPr>
              <w:rPr>
                <w:rFonts w:ascii="Calibri" w:eastAsia="Calibri" w:hAnsi="Calibri"/>
                <w:sz w:val="22"/>
                <w:szCs w:val="22"/>
              </w:rPr>
            </w:pPr>
          </w:p>
        </w:tc>
        <w:tc>
          <w:tcPr>
            <w:tcW w:w="1024" w:type="dxa"/>
            <w:shd w:val="clear" w:color="auto" w:fill="auto"/>
          </w:tcPr>
          <w:p w14:paraId="32B8766E" w14:textId="77777777" w:rsidR="00332FF3" w:rsidRPr="001B79CE" w:rsidRDefault="00332FF3" w:rsidP="00E85F56">
            <w:pPr>
              <w:rPr>
                <w:rFonts w:ascii="Calibri" w:eastAsia="Calibri" w:hAnsi="Calibri"/>
                <w:sz w:val="22"/>
                <w:szCs w:val="22"/>
              </w:rPr>
            </w:pPr>
          </w:p>
        </w:tc>
        <w:tc>
          <w:tcPr>
            <w:tcW w:w="1024" w:type="dxa"/>
            <w:shd w:val="clear" w:color="auto" w:fill="auto"/>
          </w:tcPr>
          <w:p w14:paraId="69A43080"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Status</w:t>
            </w:r>
          </w:p>
        </w:tc>
        <w:tc>
          <w:tcPr>
            <w:tcW w:w="1024" w:type="dxa"/>
            <w:shd w:val="clear" w:color="auto" w:fill="auto"/>
          </w:tcPr>
          <w:p w14:paraId="5AE596D5"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Support</w:t>
            </w:r>
          </w:p>
        </w:tc>
        <w:tc>
          <w:tcPr>
            <w:tcW w:w="1024" w:type="dxa"/>
            <w:shd w:val="clear" w:color="auto" w:fill="auto"/>
          </w:tcPr>
          <w:p w14:paraId="34D85EA5"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Status</w:t>
            </w:r>
          </w:p>
        </w:tc>
        <w:tc>
          <w:tcPr>
            <w:tcW w:w="1024" w:type="dxa"/>
            <w:shd w:val="clear" w:color="auto" w:fill="auto"/>
          </w:tcPr>
          <w:p w14:paraId="6BB39DAE"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Support</w:t>
            </w:r>
          </w:p>
        </w:tc>
        <w:tc>
          <w:tcPr>
            <w:tcW w:w="1024" w:type="dxa"/>
            <w:shd w:val="clear" w:color="auto" w:fill="auto"/>
          </w:tcPr>
          <w:p w14:paraId="64B50FD3"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Status</w:t>
            </w:r>
          </w:p>
        </w:tc>
        <w:tc>
          <w:tcPr>
            <w:tcW w:w="1024" w:type="dxa"/>
            <w:shd w:val="clear" w:color="auto" w:fill="auto"/>
          </w:tcPr>
          <w:p w14:paraId="112CF5FC"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Support</w:t>
            </w:r>
          </w:p>
        </w:tc>
      </w:tr>
      <w:tr w:rsidR="00332FF3" w:rsidRPr="001B79CE" w14:paraId="3C82CEFB" w14:textId="77777777" w:rsidTr="00E85F56">
        <w:trPr>
          <w:trHeight w:val="305"/>
        </w:trPr>
        <w:tc>
          <w:tcPr>
            <w:tcW w:w="1024" w:type="dxa"/>
            <w:shd w:val="clear" w:color="auto" w:fill="auto"/>
          </w:tcPr>
          <w:p w14:paraId="7379617E"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2</w:t>
            </w:r>
          </w:p>
        </w:tc>
        <w:tc>
          <w:tcPr>
            <w:tcW w:w="1024" w:type="dxa"/>
            <w:shd w:val="clear" w:color="auto" w:fill="auto"/>
          </w:tcPr>
          <w:p w14:paraId="129E2174" w14:textId="77777777" w:rsidR="00332FF3" w:rsidRPr="009040AD" w:rsidRDefault="00332FF3" w:rsidP="00E85F56">
            <w:pPr>
              <w:rPr>
                <w:rFonts w:ascii="Calibri" w:eastAsia="Calibri" w:hAnsi="Calibri"/>
                <w:sz w:val="22"/>
                <w:szCs w:val="22"/>
              </w:rPr>
            </w:pPr>
            <w:r w:rsidRPr="009040AD">
              <w:rPr>
                <w:rFonts w:ascii="Calibri" w:eastAsia="Calibri" w:hAnsi="Calibri"/>
                <w:sz w:val="22"/>
                <w:szCs w:val="22"/>
              </w:rPr>
              <w:t>CBF</w:t>
            </w:r>
          </w:p>
        </w:tc>
        <w:tc>
          <w:tcPr>
            <w:tcW w:w="1024" w:type="dxa"/>
            <w:shd w:val="clear" w:color="auto" w:fill="auto"/>
          </w:tcPr>
          <w:p w14:paraId="57760A39" w14:textId="2678AC53" w:rsidR="00332FF3" w:rsidRPr="001B79CE" w:rsidRDefault="00332FF3" w:rsidP="00E85F56">
            <w:pP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REF _Ref493083876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4.1.2</w:t>
            </w:r>
            <w:r>
              <w:rPr>
                <w:rFonts w:ascii="Calibri" w:eastAsia="Calibri" w:hAnsi="Calibri"/>
                <w:sz w:val="22"/>
                <w:szCs w:val="22"/>
              </w:rPr>
              <w:fldChar w:fldCharType="end"/>
            </w:r>
          </w:p>
        </w:tc>
        <w:tc>
          <w:tcPr>
            <w:tcW w:w="1024" w:type="dxa"/>
            <w:shd w:val="clear" w:color="auto" w:fill="auto"/>
          </w:tcPr>
          <w:p w14:paraId="6673178E"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M</w:t>
            </w:r>
          </w:p>
        </w:tc>
        <w:tc>
          <w:tcPr>
            <w:tcW w:w="1024" w:type="dxa"/>
            <w:shd w:val="clear" w:color="auto" w:fill="auto"/>
          </w:tcPr>
          <w:p w14:paraId="685B7D2C" w14:textId="77777777" w:rsidR="00332FF3" w:rsidRPr="001B79CE" w:rsidRDefault="00332FF3" w:rsidP="00E85F56">
            <w:pPr>
              <w:rPr>
                <w:rFonts w:ascii="Calibri" w:eastAsia="Calibri" w:hAnsi="Calibri"/>
                <w:sz w:val="22"/>
                <w:szCs w:val="22"/>
              </w:rPr>
            </w:pPr>
          </w:p>
        </w:tc>
        <w:tc>
          <w:tcPr>
            <w:tcW w:w="1024" w:type="dxa"/>
            <w:shd w:val="clear" w:color="auto" w:fill="auto"/>
          </w:tcPr>
          <w:p w14:paraId="18DDF1FB"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M</w:t>
            </w:r>
          </w:p>
        </w:tc>
        <w:tc>
          <w:tcPr>
            <w:tcW w:w="1024" w:type="dxa"/>
            <w:shd w:val="clear" w:color="auto" w:fill="auto"/>
          </w:tcPr>
          <w:p w14:paraId="1598DA5E" w14:textId="77777777" w:rsidR="00332FF3" w:rsidRPr="001B79CE" w:rsidRDefault="00332FF3" w:rsidP="00E85F56">
            <w:pPr>
              <w:rPr>
                <w:rFonts w:ascii="Calibri" w:eastAsia="Calibri" w:hAnsi="Calibri"/>
                <w:sz w:val="22"/>
                <w:szCs w:val="22"/>
              </w:rPr>
            </w:pPr>
          </w:p>
        </w:tc>
        <w:tc>
          <w:tcPr>
            <w:tcW w:w="1024" w:type="dxa"/>
            <w:shd w:val="clear" w:color="auto" w:fill="auto"/>
          </w:tcPr>
          <w:p w14:paraId="23FDF3C2" w14:textId="77777777" w:rsidR="00332FF3" w:rsidRPr="001B79CE" w:rsidRDefault="00332FF3" w:rsidP="00E85F56">
            <w:pPr>
              <w:rPr>
                <w:rFonts w:ascii="Calibri" w:eastAsia="Calibri" w:hAnsi="Calibri"/>
                <w:sz w:val="22"/>
                <w:szCs w:val="22"/>
              </w:rPr>
            </w:pPr>
          </w:p>
        </w:tc>
        <w:tc>
          <w:tcPr>
            <w:tcW w:w="1024" w:type="dxa"/>
            <w:shd w:val="clear" w:color="auto" w:fill="auto"/>
          </w:tcPr>
          <w:p w14:paraId="607D2860" w14:textId="77777777" w:rsidR="00332FF3" w:rsidRPr="001B79CE" w:rsidRDefault="00332FF3" w:rsidP="00E85F56">
            <w:pPr>
              <w:rPr>
                <w:rFonts w:ascii="Calibri" w:eastAsia="Calibri" w:hAnsi="Calibri"/>
                <w:sz w:val="22"/>
                <w:szCs w:val="22"/>
              </w:rPr>
            </w:pPr>
          </w:p>
        </w:tc>
      </w:tr>
      <w:tr w:rsidR="00332FF3" w:rsidRPr="001B79CE" w14:paraId="768C083C" w14:textId="77777777" w:rsidTr="00E85F56">
        <w:tc>
          <w:tcPr>
            <w:tcW w:w="1024" w:type="dxa"/>
            <w:shd w:val="clear" w:color="auto" w:fill="auto"/>
          </w:tcPr>
          <w:p w14:paraId="014B4070"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3</w:t>
            </w:r>
          </w:p>
        </w:tc>
        <w:tc>
          <w:tcPr>
            <w:tcW w:w="1024" w:type="dxa"/>
            <w:shd w:val="clear" w:color="auto" w:fill="auto"/>
          </w:tcPr>
          <w:p w14:paraId="3EF3C694"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GSBS</w:t>
            </w:r>
          </w:p>
        </w:tc>
        <w:tc>
          <w:tcPr>
            <w:tcW w:w="1024" w:type="dxa"/>
            <w:shd w:val="clear" w:color="auto" w:fill="auto"/>
          </w:tcPr>
          <w:p w14:paraId="2915F6F5" w14:textId="692504FE" w:rsidR="00332FF3" w:rsidRPr="001B79CE" w:rsidRDefault="00332FF3" w:rsidP="00E85F56">
            <w:pP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REF _Ref493083887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4.1.3</w:t>
            </w:r>
            <w:r>
              <w:rPr>
                <w:rFonts w:ascii="Calibri" w:eastAsia="Calibri" w:hAnsi="Calibri"/>
                <w:sz w:val="22"/>
                <w:szCs w:val="22"/>
              </w:rPr>
              <w:fldChar w:fldCharType="end"/>
            </w:r>
          </w:p>
        </w:tc>
        <w:tc>
          <w:tcPr>
            <w:tcW w:w="1024" w:type="dxa"/>
            <w:shd w:val="clear" w:color="auto" w:fill="auto"/>
          </w:tcPr>
          <w:p w14:paraId="4AAFD61E"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M</w:t>
            </w:r>
          </w:p>
        </w:tc>
        <w:tc>
          <w:tcPr>
            <w:tcW w:w="1024" w:type="dxa"/>
            <w:shd w:val="clear" w:color="auto" w:fill="auto"/>
          </w:tcPr>
          <w:p w14:paraId="56B610D1" w14:textId="77777777" w:rsidR="00332FF3" w:rsidRPr="001B79CE" w:rsidRDefault="00332FF3" w:rsidP="00E85F56">
            <w:pPr>
              <w:rPr>
                <w:rFonts w:ascii="Calibri" w:eastAsia="Calibri" w:hAnsi="Calibri"/>
                <w:sz w:val="22"/>
                <w:szCs w:val="22"/>
              </w:rPr>
            </w:pPr>
          </w:p>
        </w:tc>
        <w:tc>
          <w:tcPr>
            <w:tcW w:w="1024" w:type="dxa"/>
            <w:shd w:val="clear" w:color="auto" w:fill="auto"/>
          </w:tcPr>
          <w:p w14:paraId="21B00C8D"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M</w:t>
            </w:r>
          </w:p>
        </w:tc>
        <w:tc>
          <w:tcPr>
            <w:tcW w:w="1024" w:type="dxa"/>
            <w:shd w:val="clear" w:color="auto" w:fill="auto"/>
          </w:tcPr>
          <w:p w14:paraId="79DE42E7" w14:textId="77777777" w:rsidR="00332FF3" w:rsidRPr="001B79CE" w:rsidRDefault="00332FF3" w:rsidP="00E85F56">
            <w:pPr>
              <w:rPr>
                <w:rFonts w:ascii="Calibri" w:eastAsia="Calibri" w:hAnsi="Calibri"/>
                <w:sz w:val="22"/>
                <w:szCs w:val="22"/>
              </w:rPr>
            </w:pPr>
          </w:p>
        </w:tc>
        <w:tc>
          <w:tcPr>
            <w:tcW w:w="1024" w:type="dxa"/>
            <w:shd w:val="clear" w:color="auto" w:fill="auto"/>
          </w:tcPr>
          <w:p w14:paraId="5EB99545"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C1</w:t>
            </w:r>
          </w:p>
        </w:tc>
        <w:tc>
          <w:tcPr>
            <w:tcW w:w="1024" w:type="dxa"/>
            <w:shd w:val="clear" w:color="auto" w:fill="auto"/>
          </w:tcPr>
          <w:p w14:paraId="10A073ED" w14:textId="77777777" w:rsidR="00332FF3" w:rsidRPr="001B79CE" w:rsidRDefault="00332FF3" w:rsidP="00E85F56">
            <w:pPr>
              <w:rPr>
                <w:rFonts w:ascii="Calibri" w:eastAsia="Calibri" w:hAnsi="Calibri"/>
                <w:sz w:val="22"/>
                <w:szCs w:val="22"/>
              </w:rPr>
            </w:pPr>
          </w:p>
        </w:tc>
      </w:tr>
      <w:tr w:rsidR="00332FF3" w:rsidRPr="001B79CE" w14:paraId="2D8F14AF" w14:textId="77777777" w:rsidTr="00E85F56">
        <w:tc>
          <w:tcPr>
            <w:tcW w:w="1024" w:type="dxa"/>
            <w:shd w:val="clear" w:color="auto" w:fill="auto"/>
          </w:tcPr>
          <w:p w14:paraId="7524EE63"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4</w:t>
            </w:r>
          </w:p>
        </w:tc>
        <w:tc>
          <w:tcPr>
            <w:tcW w:w="1024" w:type="dxa"/>
            <w:shd w:val="clear" w:color="auto" w:fill="auto"/>
          </w:tcPr>
          <w:p w14:paraId="24DA5144"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BIB</w:t>
            </w:r>
          </w:p>
        </w:tc>
        <w:tc>
          <w:tcPr>
            <w:tcW w:w="1024" w:type="dxa"/>
            <w:shd w:val="clear" w:color="auto" w:fill="auto"/>
          </w:tcPr>
          <w:p w14:paraId="666C5692" w14:textId="6A355952" w:rsidR="00332FF3" w:rsidRPr="001B79CE" w:rsidRDefault="00332FF3" w:rsidP="00E85F56">
            <w:pP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REF _Ref493083902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4.1.4</w:t>
            </w:r>
            <w:r>
              <w:rPr>
                <w:rFonts w:ascii="Calibri" w:eastAsia="Calibri" w:hAnsi="Calibri"/>
                <w:sz w:val="22"/>
                <w:szCs w:val="22"/>
              </w:rPr>
              <w:fldChar w:fldCharType="end"/>
            </w:r>
          </w:p>
        </w:tc>
        <w:tc>
          <w:tcPr>
            <w:tcW w:w="1024" w:type="dxa"/>
            <w:shd w:val="clear" w:color="auto" w:fill="auto"/>
          </w:tcPr>
          <w:p w14:paraId="65421A12"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O.1</w:t>
            </w:r>
          </w:p>
        </w:tc>
        <w:tc>
          <w:tcPr>
            <w:tcW w:w="1024" w:type="dxa"/>
            <w:shd w:val="clear" w:color="auto" w:fill="auto"/>
          </w:tcPr>
          <w:p w14:paraId="33EF081F" w14:textId="77777777" w:rsidR="00332FF3" w:rsidRPr="001B79CE" w:rsidRDefault="00332FF3" w:rsidP="00E85F56">
            <w:pPr>
              <w:rPr>
                <w:rFonts w:ascii="Calibri" w:eastAsia="Calibri" w:hAnsi="Calibri"/>
                <w:sz w:val="22"/>
                <w:szCs w:val="22"/>
              </w:rPr>
            </w:pPr>
          </w:p>
        </w:tc>
        <w:tc>
          <w:tcPr>
            <w:tcW w:w="1024" w:type="dxa"/>
            <w:shd w:val="clear" w:color="auto" w:fill="auto"/>
          </w:tcPr>
          <w:p w14:paraId="74175018"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O.1</w:t>
            </w:r>
          </w:p>
        </w:tc>
        <w:tc>
          <w:tcPr>
            <w:tcW w:w="1024" w:type="dxa"/>
            <w:shd w:val="clear" w:color="auto" w:fill="auto"/>
          </w:tcPr>
          <w:p w14:paraId="3D68A9D2" w14:textId="77777777" w:rsidR="00332FF3" w:rsidRPr="001B79CE" w:rsidRDefault="00332FF3" w:rsidP="00E85F56">
            <w:pPr>
              <w:rPr>
                <w:rFonts w:ascii="Calibri" w:eastAsia="Calibri" w:hAnsi="Calibri"/>
                <w:sz w:val="22"/>
                <w:szCs w:val="22"/>
              </w:rPr>
            </w:pPr>
          </w:p>
        </w:tc>
        <w:tc>
          <w:tcPr>
            <w:tcW w:w="1024" w:type="dxa"/>
            <w:shd w:val="clear" w:color="auto" w:fill="auto"/>
          </w:tcPr>
          <w:p w14:paraId="7347B5ED"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O</w:t>
            </w:r>
          </w:p>
        </w:tc>
        <w:tc>
          <w:tcPr>
            <w:tcW w:w="1024" w:type="dxa"/>
            <w:shd w:val="clear" w:color="auto" w:fill="auto"/>
          </w:tcPr>
          <w:p w14:paraId="211B40BB" w14:textId="77777777" w:rsidR="00332FF3" w:rsidRPr="001B79CE" w:rsidRDefault="00332FF3" w:rsidP="00E85F56">
            <w:pPr>
              <w:rPr>
                <w:rFonts w:ascii="Calibri" w:eastAsia="Calibri" w:hAnsi="Calibri"/>
                <w:sz w:val="22"/>
                <w:szCs w:val="22"/>
              </w:rPr>
            </w:pPr>
          </w:p>
        </w:tc>
      </w:tr>
      <w:tr w:rsidR="00332FF3" w:rsidRPr="001B79CE" w14:paraId="32A55EC0" w14:textId="77777777" w:rsidTr="00E85F56">
        <w:tc>
          <w:tcPr>
            <w:tcW w:w="1024" w:type="dxa"/>
            <w:shd w:val="clear" w:color="auto" w:fill="auto"/>
          </w:tcPr>
          <w:p w14:paraId="651953BD"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5</w:t>
            </w:r>
          </w:p>
        </w:tc>
        <w:tc>
          <w:tcPr>
            <w:tcW w:w="1024" w:type="dxa"/>
            <w:shd w:val="clear" w:color="auto" w:fill="auto"/>
          </w:tcPr>
          <w:p w14:paraId="17AE7585"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BCB</w:t>
            </w:r>
          </w:p>
        </w:tc>
        <w:tc>
          <w:tcPr>
            <w:tcW w:w="1024" w:type="dxa"/>
            <w:shd w:val="clear" w:color="auto" w:fill="auto"/>
          </w:tcPr>
          <w:p w14:paraId="1ADF2C76" w14:textId="1BB08B70" w:rsidR="00332FF3" w:rsidRPr="001B79CE" w:rsidRDefault="00332FF3" w:rsidP="00E85F56">
            <w:pP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REF _Ref493083917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4.1.5</w:t>
            </w:r>
            <w:r>
              <w:rPr>
                <w:rFonts w:ascii="Calibri" w:eastAsia="Calibri" w:hAnsi="Calibri"/>
                <w:sz w:val="22"/>
                <w:szCs w:val="22"/>
              </w:rPr>
              <w:fldChar w:fldCharType="end"/>
            </w:r>
          </w:p>
        </w:tc>
        <w:tc>
          <w:tcPr>
            <w:tcW w:w="1024" w:type="dxa"/>
            <w:shd w:val="clear" w:color="auto" w:fill="auto"/>
          </w:tcPr>
          <w:p w14:paraId="7EB966BB"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O.1</w:t>
            </w:r>
          </w:p>
        </w:tc>
        <w:tc>
          <w:tcPr>
            <w:tcW w:w="1024" w:type="dxa"/>
            <w:shd w:val="clear" w:color="auto" w:fill="auto"/>
          </w:tcPr>
          <w:p w14:paraId="29A71928" w14:textId="77777777" w:rsidR="00332FF3" w:rsidRPr="001B79CE" w:rsidRDefault="00332FF3" w:rsidP="00E85F56">
            <w:pPr>
              <w:rPr>
                <w:rFonts w:ascii="Calibri" w:eastAsia="Calibri" w:hAnsi="Calibri"/>
                <w:sz w:val="22"/>
                <w:szCs w:val="22"/>
              </w:rPr>
            </w:pPr>
          </w:p>
        </w:tc>
        <w:tc>
          <w:tcPr>
            <w:tcW w:w="1024" w:type="dxa"/>
            <w:shd w:val="clear" w:color="auto" w:fill="auto"/>
          </w:tcPr>
          <w:p w14:paraId="0A7CEBE0"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O.1</w:t>
            </w:r>
          </w:p>
        </w:tc>
        <w:tc>
          <w:tcPr>
            <w:tcW w:w="1024" w:type="dxa"/>
            <w:shd w:val="clear" w:color="auto" w:fill="auto"/>
          </w:tcPr>
          <w:p w14:paraId="7571A9C4" w14:textId="77777777" w:rsidR="00332FF3" w:rsidRPr="001B79CE" w:rsidRDefault="00332FF3" w:rsidP="00E85F56">
            <w:pPr>
              <w:rPr>
                <w:rFonts w:ascii="Calibri" w:eastAsia="Calibri" w:hAnsi="Calibri"/>
                <w:sz w:val="22"/>
                <w:szCs w:val="22"/>
              </w:rPr>
            </w:pPr>
          </w:p>
        </w:tc>
        <w:tc>
          <w:tcPr>
            <w:tcW w:w="1024" w:type="dxa"/>
            <w:shd w:val="clear" w:color="auto" w:fill="auto"/>
          </w:tcPr>
          <w:p w14:paraId="248AC9A7"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N/A</w:t>
            </w:r>
          </w:p>
        </w:tc>
        <w:tc>
          <w:tcPr>
            <w:tcW w:w="1024" w:type="dxa"/>
            <w:shd w:val="clear" w:color="auto" w:fill="auto"/>
          </w:tcPr>
          <w:p w14:paraId="7B66D279" w14:textId="77777777" w:rsidR="00332FF3" w:rsidRPr="001B79CE" w:rsidRDefault="00332FF3" w:rsidP="00E85F56">
            <w:pPr>
              <w:rPr>
                <w:rFonts w:ascii="Calibri" w:eastAsia="Calibri" w:hAnsi="Calibri"/>
                <w:sz w:val="22"/>
                <w:szCs w:val="22"/>
              </w:rPr>
            </w:pPr>
          </w:p>
        </w:tc>
      </w:tr>
    </w:tbl>
    <w:p w14:paraId="0D30A9B8" w14:textId="77777777" w:rsidR="00332FF3" w:rsidRPr="001B79CE" w:rsidRDefault="00332FF3" w:rsidP="00332FF3">
      <w:r w:rsidRPr="001B79CE">
        <w:t>O.1: At least one of these options must be supported in order to claim compliance with this specification.</w:t>
      </w:r>
    </w:p>
    <w:p w14:paraId="1EEBB3A4" w14:textId="77777777" w:rsidR="00332FF3" w:rsidRDefault="00332FF3" w:rsidP="00332FF3">
      <w:pPr>
        <w:spacing w:after="240"/>
      </w:pPr>
      <w:r w:rsidRPr="001B79CE">
        <w:t>C1: If intermediate BIB verification is supported on a relay then the relay must be able to parse the Generic Security Block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316"/>
        <w:gridCol w:w="1316"/>
        <w:gridCol w:w="1316"/>
        <w:gridCol w:w="1317"/>
        <w:gridCol w:w="1317"/>
        <w:gridCol w:w="1317"/>
        <w:gridCol w:w="1317"/>
      </w:tblGrid>
      <w:tr w:rsidR="00332FF3" w:rsidRPr="001B79CE" w14:paraId="570F841F" w14:textId="77777777" w:rsidTr="00E85F56">
        <w:trPr>
          <w:cantSplit/>
          <w:trHeight w:val="20"/>
        </w:trPr>
        <w:tc>
          <w:tcPr>
            <w:tcW w:w="9216" w:type="dxa"/>
            <w:gridSpan w:val="7"/>
            <w:shd w:val="clear" w:color="auto" w:fill="auto"/>
          </w:tcPr>
          <w:p w14:paraId="53574C1B" w14:textId="77777777" w:rsidR="00332FF3" w:rsidRPr="001B79CE" w:rsidRDefault="00332FF3" w:rsidP="00E85F56">
            <w:pPr>
              <w:keepNext/>
              <w:rPr>
                <w:rFonts w:ascii="Calibri" w:eastAsia="Calibri" w:hAnsi="Calibri"/>
                <w:sz w:val="22"/>
                <w:szCs w:val="22"/>
              </w:rPr>
            </w:pPr>
            <w:r w:rsidRPr="001B79CE">
              <w:rPr>
                <w:rFonts w:ascii="Calibri" w:eastAsia="Calibri" w:hAnsi="Calibri"/>
                <w:sz w:val="22"/>
                <w:szCs w:val="22"/>
              </w:rPr>
              <w:t>Parameters of GSBS-PDU</w:t>
            </w:r>
          </w:p>
        </w:tc>
      </w:tr>
      <w:tr w:rsidR="00332FF3" w:rsidRPr="001B79CE" w14:paraId="5D3D54A2" w14:textId="77777777" w:rsidTr="00E85F56">
        <w:trPr>
          <w:cantSplit/>
          <w:trHeight w:val="20"/>
        </w:trPr>
        <w:tc>
          <w:tcPr>
            <w:tcW w:w="1316" w:type="dxa"/>
            <w:shd w:val="clear" w:color="auto" w:fill="auto"/>
          </w:tcPr>
          <w:p w14:paraId="094C6AB6"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Item</w:t>
            </w:r>
          </w:p>
        </w:tc>
        <w:tc>
          <w:tcPr>
            <w:tcW w:w="1316" w:type="dxa"/>
            <w:shd w:val="clear" w:color="auto" w:fill="auto"/>
          </w:tcPr>
          <w:p w14:paraId="53A68C9A"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Parameter</w:t>
            </w:r>
          </w:p>
        </w:tc>
        <w:tc>
          <w:tcPr>
            <w:tcW w:w="1316" w:type="dxa"/>
            <w:shd w:val="clear" w:color="auto" w:fill="auto"/>
          </w:tcPr>
          <w:p w14:paraId="376CCA89" w14:textId="77777777" w:rsidR="00332FF3" w:rsidRPr="001B79CE" w:rsidRDefault="00332FF3" w:rsidP="00E85F56">
            <w:pPr>
              <w:keepNext/>
              <w:rPr>
                <w:rFonts w:ascii="Calibri" w:eastAsia="Calibri" w:hAnsi="Calibri"/>
                <w:sz w:val="22"/>
                <w:szCs w:val="22"/>
              </w:rPr>
            </w:pPr>
            <w:r w:rsidRPr="001B79CE">
              <w:rPr>
                <w:rFonts w:ascii="Calibri" w:eastAsia="Calibri" w:hAnsi="Calibri"/>
                <w:sz w:val="22"/>
                <w:szCs w:val="22"/>
              </w:rPr>
              <w:t>Ref.</w:t>
            </w:r>
          </w:p>
        </w:tc>
        <w:tc>
          <w:tcPr>
            <w:tcW w:w="1317" w:type="dxa"/>
            <w:shd w:val="clear" w:color="auto" w:fill="auto"/>
          </w:tcPr>
          <w:p w14:paraId="63A2B465" w14:textId="77777777" w:rsidR="00332FF3" w:rsidRPr="001B79CE" w:rsidRDefault="00332FF3" w:rsidP="00E85F56">
            <w:pPr>
              <w:keepNext/>
              <w:rPr>
                <w:rFonts w:ascii="Calibri" w:eastAsia="Calibri" w:hAnsi="Calibri"/>
                <w:sz w:val="22"/>
                <w:szCs w:val="22"/>
              </w:rPr>
            </w:pPr>
            <w:r w:rsidRPr="001B79CE">
              <w:rPr>
                <w:rFonts w:ascii="Calibri" w:eastAsia="Calibri" w:hAnsi="Calibri"/>
                <w:sz w:val="22"/>
                <w:szCs w:val="22"/>
              </w:rPr>
              <w:t>Status</w:t>
            </w:r>
          </w:p>
        </w:tc>
        <w:tc>
          <w:tcPr>
            <w:tcW w:w="1317" w:type="dxa"/>
            <w:shd w:val="clear" w:color="auto" w:fill="auto"/>
          </w:tcPr>
          <w:p w14:paraId="73EF8398" w14:textId="77777777" w:rsidR="00332FF3" w:rsidRPr="001B79CE" w:rsidRDefault="00332FF3" w:rsidP="00E85F56">
            <w:pPr>
              <w:keepNext/>
              <w:rPr>
                <w:rFonts w:ascii="Calibri" w:eastAsia="Calibri" w:hAnsi="Calibri"/>
                <w:sz w:val="22"/>
                <w:szCs w:val="22"/>
              </w:rPr>
            </w:pPr>
            <w:r w:rsidRPr="001B79CE">
              <w:rPr>
                <w:rFonts w:ascii="Calibri" w:eastAsia="Calibri" w:hAnsi="Calibri"/>
                <w:sz w:val="22"/>
                <w:szCs w:val="22"/>
              </w:rPr>
              <w:t>Support</w:t>
            </w:r>
          </w:p>
        </w:tc>
        <w:tc>
          <w:tcPr>
            <w:tcW w:w="2634" w:type="dxa"/>
            <w:gridSpan w:val="2"/>
            <w:shd w:val="clear" w:color="auto" w:fill="auto"/>
          </w:tcPr>
          <w:p w14:paraId="4698568E" w14:textId="77777777" w:rsidR="00332FF3" w:rsidRPr="001B79CE" w:rsidRDefault="00332FF3" w:rsidP="00E85F56">
            <w:pPr>
              <w:keepNext/>
              <w:rPr>
                <w:rFonts w:ascii="Calibri" w:eastAsia="Calibri" w:hAnsi="Calibri"/>
                <w:sz w:val="22"/>
                <w:szCs w:val="22"/>
              </w:rPr>
            </w:pPr>
            <w:r w:rsidRPr="001B79CE">
              <w:rPr>
                <w:rFonts w:ascii="Calibri" w:eastAsia="Calibri" w:hAnsi="Calibri"/>
                <w:sz w:val="22"/>
                <w:szCs w:val="22"/>
              </w:rPr>
              <w:t>Values</w:t>
            </w:r>
          </w:p>
        </w:tc>
      </w:tr>
      <w:tr w:rsidR="00332FF3" w:rsidRPr="001B79CE" w14:paraId="443C7985" w14:textId="77777777" w:rsidTr="00E85F56">
        <w:trPr>
          <w:cantSplit/>
          <w:trHeight w:val="20"/>
        </w:trPr>
        <w:tc>
          <w:tcPr>
            <w:tcW w:w="1316" w:type="dxa"/>
            <w:shd w:val="clear" w:color="auto" w:fill="auto"/>
          </w:tcPr>
          <w:p w14:paraId="14E4BCE5" w14:textId="77777777" w:rsidR="00332FF3" w:rsidRPr="001B79CE" w:rsidRDefault="00332FF3" w:rsidP="00E85F56">
            <w:pPr>
              <w:rPr>
                <w:rFonts w:ascii="Calibri" w:eastAsia="Calibri" w:hAnsi="Calibri"/>
                <w:sz w:val="22"/>
                <w:szCs w:val="22"/>
              </w:rPr>
            </w:pPr>
          </w:p>
        </w:tc>
        <w:tc>
          <w:tcPr>
            <w:tcW w:w="1316" w:type="dxa"/>
            <w:shd w:val="clear" w:color="auto" w:fill="auto"/>
          </w:tcPr>
          <w:p w14:paraId="262F6234" w14:textId="77777777" w:rsidR="00332FF3" w:rsidRPr="001B79CE" w:rsidRDefault="00332FF3" w:rsidP="00E85F56">
            <w:pPr>
              <w:rPr>
                <w:rFonts w:ascii="Calibri" w:eastAsia="Calibri" w:hAnsi="Calibri"/>
                <w:sz w:val="22"/>
                <w:szCs w:val="22"/>
              </w:rPr>
            </w:pPr>
          </w:p>
        </w:tc>
        <w:tc>
          <w:tcPr>
            <w:tcW w:w="1316" w:type="dxa"/>
            <w:shd w:val="clear" w:color="auto" w:fill="auto"/>
          </w:tcPr>
          <w:p w14:paraId="02D72389" w14:textId="77777777" w:rsidR="00332FF3" w:rsidRPr="001B79CE" w:rsidRDefault="00332FF3" w:rsidP="00E85F56">
            <w:pPr>
              <w:keepNext/>
              <w:rPr>
                <w:rFonts w:ascii="Calibri" w:eastAsia="Calibri" w:hAnsi="Calibri"/>
                <w:sz w:val="22"/>
                <w:szCs w:val="22"/>
              </w:rPr>
            </w:pPr>
          </w:p>
        </w:tc>
        <w:tc>
          <w:tcPr>
            <w:tcW w:w="1317" w:type="dxa"/>
            <w:shd w:val="clear" w:color="auto" w:fill="auto"/>
          </w:tcPr>
          <w:p w14:paraId="127AEC8E" w14:textId="77777777" w:rsidR="00332FF3" w:rsidRPr="001B79CE" w:rsidRDefault="00332FF3" w:rsidP="00E85F56">
            <w:pPr>
              <w:keepNext/>
              <w:rPr>
                <w:rFonts w:ascii="Calibri" w:eastAsia="Calibri" w:hAnsi="Calibri"/>
                <w:sz w:val="22"/>
                <w:szCs w:val="22"/>
              </w:rPr>
            </w:pPr>
          </w:p>
        </w:tc>
        <w:tc>
          <w:tcPr>
            <w:tcW w:w="1317" w:type="dxa"/>
            <w:shd w:val="clear" w:color="auto" w:fill="auto"/>
          </w:tcPr>
          <w:p w14:paraId="10D1B665" w14:textId="77777777" w:rsidR="00332FF3" w:rsidRPr="001B79CE" w:rsidRDefault="00332FF3" w:rsidP="00E85F56">
            <w:pPr>
              <w:keepNext/>
              <w:rPr>
                <w:rFonts w:ascii="Calibri" w:eastAsia="Calibri" w:hAnsi="Calibri"/>
                <w:sz w:val="22"/>
                <w:szCs w:val="22"/>
              </w:rPr>
            </w:pPr>
          </w:p>
        </w:tc>
        <w:tc>
          <w:tcPr>
            <w:tcW w:w="1317" w:type="dxa"/>
            <w:shd w:val="clear" w:color="auto" w:fill="auto"/>
          </w:tcPr>
          <w:p w14:paraId="584EEAA6" w14:textId="77777777" w:rsidR="00332FF3" w:rsidRPr="001B79CE" w:rsidRDefault="00332FF3" w:rsidP="00E85F56">
            <w:pPr>
              <w:keepNext/>
              <w:rPr>
                <w:rFonts w:ascii="Calibri" w:eastAsia="Calibri" w:hAnsi="Calibri"/>
                <w:sz w:val="22"/>
                <w:szCs w:val="22"/>
              </w:rPr>
            </w:pPr>
            <w:r w:rsidRPr="001B79CE">
              <w:rPr>
                <w:rFonts w:ascii="Calibri" w:eastAsia="Calibri" w:hAnsi="Calibri"/>
                <w:sz w:val="22"/>
                <w:szCs w:val="22"/>
              </w:rPr>
              <w:t>Allowed</w:t>
            </w:r>
          </w:p>
        </w:tc>
        <w:tc>
          <w:tcPr>
            <w:tcW w:w="1317" w:type="dxa"/>
            <w:shd w:val="clear" w:color="auto" w:fill="auto"/>
          </w:tcPr>
          <w:p w14:paraId="668CD7B7" w14:textId="77777777" w:rsidR="00332FF3" w:rsidRPr="001B79CE" w:rsidRDefault="00332FF3" w:rsidP="00E85F56">
            <w:pPr>
              <w:keepNext/>
              <w:rPr>
                <w:rFonts w:ascii="Calibri" w:eastAsia="Calibri" w:hAnsi="Calibri"/>
                <w:sz w:val="22"/>
                <w:szCs w:val="22"/>
              </w:rPr>
            </w:pPr>
            <w:r w:rsidRPr="001B79CE">
              <w:rPr>
                <w:rFonts w:ascii="Calibri" w:eastAsia="Calibri" w:hAnsi="Calibri"/>
                <w:sz w:val="22"/>
                <w:szCs w:val="22"/>
              </w:rPr>
              <w:t>Supported</w:t>
            </w:r>
          </w:p>
        </w:tc>
      </w:tr>
      <w:tr w:rsidR="00332FF3" w:rsidRPr="001B79CE" w14:paraId="4C9255D7" w14:textId="77777777" w:rsidTr="00E85F56">
        <w:trPr>
          <w:cantSplit/>
          <w:trHeight w:val="20"/>
        </w:trPr>
        <w:tc>
          <w:tcPr>
            <w:tcW w:w="1316" w:type="dxa"/>
            <w:shd w:val="clear" w:color="auto" w:fill="auto"/>
          </w:tcPr>
          <w:p w14:paraId="5F0ECEB0"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6</w:t>
            </w:r>
          </w:p>
        </w:tc>
        <w:tc>
          <w:tcPr>
            <w:tcW w:w="1316" w:type="dxa"/>
            <w:shd w:val="clear" w:color="auto" w:fill="auto"/>
          </w:tcPr>
          <w:p w14:paraId="561C1AF1"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Number of security targets</w:t>
            </w:r>
          </w:p>
        </w:tc>
        <w:tc>
          <w:tcPr>
            <w:tcW w:w="1316" w:type="dxa"/>
            <w:shd w:val="clear" w:color="auto" w:fill="auto"/>
          </w:tcPr>
          <w:p w14:paraId="0F4263B3" w14:textId="0C53427B" w:rsidR="00332FF3" w:rsidRPr="001B79CE" w:rsidRDefault="00332FF3" w:rsidP="00E85F56">
            <w:pPr>
              <w:keepNext/>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REF _Ref492484026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4.1.3.2.1</w:t>
            </w:r>
            <w:r>
              <w:rPr>
                <w:rFonts w:ascii="Calibri" w:eastAsia="Calibri" w:hAnsi="Calibri"/>
                <w:sz w:val="22"/>
                <w:szCs w:val="22"/>
              </w:rPr>
              <w:fldChar w:fldCharType="end"/>
            </w:r>
          </w:p>
        </w:tc>
        <w:tc>
          <w:tcPr>
            <w:tcW w:w="1317" w:type="dxa"/>
            <w:shd w:val="clear" w:color="auto" w:fill="auto"/>
          </w:tcPr>
          <w:p w14:paraId="00F77CD5" w14:textId="77777777" w:rsidR="00332FF3" w:rsidRPr="001B79CE" w:rsidRDefault="00332FF3" w:rsidP="00E85F56">
            <w:pPr>
              <w:keepNext/>
              <w:rPr>
                <w:rFonts w:ascii="Calibri" w:eastAsia="Calibri" w:hAnsi="Calibri"/>
                <w:sz w:val="22"/>
                <w:szCs w:val="22"/>
              </w:rPr>
            </w:pPr>
            <w:r w:rsidRPr="001B79CE">
              <w:rPr>
                <w:rFonts w:ascii="Calibri" w:eastAsia="Calibri" w:hAnsi="Calibri"/>
                <w:sz w:val="22"/>
                <w:szCs w:val="22"/>
              </w:rPr>
              <w:t>M</w:t>
            </w:r>
          </w:p>
        </w:tc>
        <w:tc>
          <w:tcPr>
            <w:tcW w:w="1317" w:type="dxa"/>
            <w:shd w:val="clear" w:color="auto" w:fill="auto"/>
          </w:tcPr>
          <w:p w14:paraId="317CB0B3" w14:textId="77777777" w:rsidR="00332FF3" w:rsidRPr="001B79CE" w:rsidRDefault="00332FF3" w:rsidP="00E85F56">
            <w:pPr>
              <w:keepNext/>
              <w:rPr>
                <w:rFonts w:ascii="Calibri" w:eastAsia="Calibri" w:hAnsi="Calibri"/>
                <w:sz w:val="22"/>
                <w:szCs w:val="22"/>
              </w:rPr>
            </w:pPr>
          </w:p>
        </w:tc>
        <w:tc>
          <w:tcPr>
            <w:tcW w:w="1317" w:type="dxa"/>
            <w:shd w:val="clear" w:color="auto" w:fill="auto"/>
          </w:tcPr>
          <w:p w14:paraId="17939B26" w14:textId="77777777" w:rsidR="00332FF3" w:rsidRPr="001B79CE" w:rsidRDefault="00332FF3" w:rsidP="00E85F56">
            <w:pPr>
              <w:keepNext/>
              <w:rPr>
                <w:rFonts w:ascii="Calibri" w:eastAsia="Calibri" w:hAnsi="Calibri"/>
                <w:sz w:val="22"/>
                <w:szCs w:val="22"/>
              </w:rPr>
            </w:pPr>
            <w:r w:rsidRPr="001B79CE">
              <w:rPr>
                <w:rFonts w:ascii="Calibri" w:eastAsia="Calibri" w:hAnsi="Calibri"/>
                <w:sz w:val="22"/>
                <w:szCs w:val="22"/>
              </w:rPr>
              <w:t>&gt;= 1</w:t>
            </w:r>
          </w:p>
        </w:tc>
        <w:tc>
          <w:tcPr>
            <w:tcW w:w="1317" w:type="dxa"/>
            <w:shd w:val="clear" w:color="auto" w:fill="auto"/>
          </w:tcPr>
          <w:p w14:paraId="14B3B0CD" w14:textId="77777777" w:rsidR="00332FF3" w:rsidRPr="001B79CE" w:rsidRDefault="00332FF3" w:rsidP="00E85F56">
            <w:pPr>
              <w:keepNext/>
              <w:rPr>
                <w:rFonts w:ascii="Calibri" w:eastAsia="Calibri" w:hAnsi="Calibri"/>
                <w:sz w:val="22"/>
                <w:szCs w:val="22"/>
              </w:rPr>
            </w:pPr>
          </w:p>
        </w:tc>
      </w:tr>
      <w:tr w:rsidR="00332FF3" w:rsidRPr="001B79CE" w14:paraId="0A12F93A" w14:textId="77777777" w:rsidTr="00E85F56">
        <w:trPr>
          <w:cantSplit/>
          <w:trHeight w:val="20"/>
        </w:trPr>
        <w:tc>
          <w:tcPr>
            <w:tcW w:w="1316" w:type="dxa"/>
            <w:shd w:val="clear" w:color="auto" w:fill="auto"/>
          </w:tcPr>
          <w:p w14:paraId="24F4057E"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7</w:t>
            </w:r>
          </w:p>
        </w:tc>
        <w:tc>
          <w:tcPr>
            <w:tcW w:w="1316" w:type="dxa"/>
            <w:shd w:val="clear" w:color="auto" w:fill="auto"/>
          </w:tcPr>
          <w:p w14:paraId="40836F9E" w14:textId="33B817EC" w:rsidR="00332FF3" w:rsidRPr="001B79CE" w:rsidRDefault="00332FF3" w:rsidP="00E85F56">
            <w:pPr>
              <w:rPr>
                <w:rFonts w:ascii="Calibri" w:eastAsia="Calibri" w:hAnsi="Calibri"/>
                <w:sz w:val="22"/>
                <w:szCs w:val="22"/>
              </w:rPr>
            </w:pPr>
            <w:r w:rsidRPr="001B79CE">
              <w:rPr>
                <w:rFonts w:ascii="Calibri" w:eastAsia="Calibri" w:hAnsi="Calibri"/>
                <w:sz w:val="22"/>
                <w:szCs w:val="22"/>
              </w:rPr>
              <w:t>Optional cipher</w:t>
            </w:r>
            <w:r w:rsidR="0065465A">
              <w:rPr>
                <w:rFonts w:ascii="Calibri" w:eastAsia="Calibri" w:hAnsi="Calibri"/>
                <w:sz w:val="22"/>
                <w:szCs w:val="22"/>
              </w:rPr>
              <w:t xml:space="preserve"> </w:t>
            </w:r>
            <w:r w:rsidRPr="001B79CE">
              <w:rPr>
                <w:rFonts w:ascii="Calibri" w:eastAsia="Calibri" w:hAnsi="Calibri"/>
                <w:sz w:val="22"/>
                <w:szCs w:val="22"/>
              </w:rPr>
              <w:t>suite parameters</w:t>
            </w:r>
          </w:p>
        </w:tc>
        <w:tc>
          <w:tcPr>
            <w:tcW w:w="1316" w:type="dxa"/>
            <w:shd w:val="clear" w:color="auto" w:fill="auto"/>
          </w:tcPr>
          <w:p w14:paraId="0D5DC6C2" w14:textId="5CDFA6C9" w:rsidR="00332FF3" w:rsidRPr="001B79CE" w:rsidRDefault="00332FF3" w:rsidP="00E85F56">
            <w:pP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REF _Ref493083963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4.1.3.2.5</w:t>
            </w:r>
            <w:r>
              <w:rPr>
                <w:rFonts w:ascii="Calibri" w:eastAsia="Calibri" w:hAnsi="Calibri"/>
                <w:sz w:val="22"/>
                <w:szCs w:val="22"/>
              </w:rPr>
              <w:fldChar w:fldCharType="end"/>
            </w:r>
            <w:r w:rsidRPr="001B79CE">
              <w:rPr>
                <w:rFonts w:ascii="Calibri" w:eastAsia="Calibri" w:hAnsi="Calibri"/>
                <w:sz w:val="22"/>
                <w:szCs w:val="22"/>
              </w:rPr>
              <w:t>,</w:t>
            </w:r>
          </w:p>
          <w:p w14:paraId="619EC974" w14:textId="2272CD26" w:rsidR="00332FF3" w:rsidRPr="001B79CE" w:rsidRDefault="00332FF3" w:rsidP="00E85F56">
            <w:pP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REF _Ref492483718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4.1.8</w:t>
            </w:r>
            <w:r>
              <w:rPr>
                <w:rFonts w:ascii="Calibri" w:eastAsia="Calibri" w:hAnsi="Calibri"/>
                <w:sz w:val="22"/>
                <w:szCs w:val="22"/>
              </w:rPr>
              <w:fldChar w:fldCharType="end"/>
            </w:r>
          </w:p>
        </w:tc>
        <w:tc>
          <w:tcPr>
            <w:tcW w:w="1317" w:type="dxa"/>
            <w:shd w:val="clear" w:color="auto" w:fill="auto"/>
          </w:tcPr>
          <w:p w14:paraId="23A36433"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M</w:t>
            </w:r>
          </w:p>
        </w:tc>
        <w:tc>
          <w:tcPr>
            <w:tcW w:w="1317" w:type="dxa"/>
            <w:shd w:val="clear" w:color="auto" w:fill="auto"/>
          </w:tcPr>
          <w:p w14:paraId="4E47B212" w14:textId="77777777" w:rsidR="00332FF3" w:rsidRPr="001B79CE" w:rsidRDefault="00332FF3" w:rsidP="00E85F56">
            <w:pPr>
              <w:rPr>
                <w:rFonts w:ascii="Calibri" w:eastAsia="Calibri" w:hAnsi="Calibri"/>
                <w:sz w:val="22"/>
                <w:szCs w:val="22"/>
              </w:rPr>
            </w:pPr>
          </w:p>
        </w:tc>
        <w:tc>
          <w:tcPr>
            <w:tcW w:w="1317" w:type="dxa"/>
            <w:shd w:val="clear" w:color="auto" w:fill="auto"/>
          </w:tcPr>
          <w:p w14:paraId="2F874990"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0-1,</w:t>
            </w:r>
          </w:p>
          <w:p w14:paraId="741DD7CD"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3-5,</w:t>
            </w:r>
          </w:p>
          <w:p w14:paraId="37ECC00B" w14:textId="77777777" w:rsidR="00332FF3" w:rsidRPr="001B79CE" w:rsidRDefault="00332FF3" w:rsidP="00E85F56">
            <w:pPr>
              <w:rPr>
                <w:rFonts w:ascii="Calibri" w:eastAsia="Calibri" w:hAnsi="Calibri"/>
                <w:sz w:val="22"/>
                <w:szCs w:val="22"/>
              </w:rPr>
            </w:pPr>
            <w:r w:rsidRPr="001B79CE">
              <w:rPr>
                <w:rFonts w:ascii="Calibri" w:eastAsia="Calibri" w:hAnsi="Calibri"/>
                <w:sz w:val="22"/>
                <w:szCs w:val="22"/>
              </w:rPr>
              <w:t>7-8</w:t>
            </w:r>
          </w:p>
        </w:tc>
        <w:tc>
          <w:tcPr>
            <w:tcW w:w="1317" w:type="dxa"/>
            <w:shd w:val="clear" w:color="auto" w:fill="auto"/>
          </w:tcPr>
          <w:p w14:paraId="1090477B" w14:textId="77777777" w:rsidR="00332FF3" w:rsidRPr="001B79CE" w:rsidRDefault="00332FF3" w:rsidP="00E85F56">
            <w:pPr>
              <w:rPr>
                <w:rFonts w:ascii="Calibri" w:eastAsia="Calibri" w:hAnsi="Calibri"/>
                <w:sz w:val="22"/>
                <w:szCs w:val="22"/>
              </w:rPr>
            </w:pPr>
          </w:p>
        </w:tc>
      </w:tr>
    </w:tbl>
    <w:p w14:paraId="14EFDABF" w14:textId="77777777" w:rsidR="00332FF3" w:rsidRDefault="00332FF3" w:rsidP="00332F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834"/>
        <w:gridCol w:w="1803"/>
        <w:gridCol w:w="1784"/>
        <w:gridCol w:w="1793"/>
      </w:tblGrid>
      <w:tr w:rsidR="00442604" w:rsidRPr="001B79CE" w14:paraId="499D560C" w14:textId="77777777" w:rsidTr="00B65527">
        <w:tc>
          <w:tcPr>
            <w:tcW w:w="9216" w:type="dxa"/>
            <w:gridSpan w:val="5"/>
            <w:shd w:val="clear" w:color="auto" w:fill="auto"/>
          </w:tcPr>
          <w:p w14:paraId="50A79F76" w14:textId="77777777" w:rsidR="00442604" w:rsidRPr="001B79CE" w:rsidRDefault="00442604" w:rsidP="00B65527">
            <w:pPr>
              <w:rPr>
                <w:rFonts w:ascii="Calibri" w:eastAsia="Calibri" w:hAnsi="Calibri"/>
                <w:sz w:val="22"/>
                <w:szCs w:val="22"/>
              </w:rPr>
            </w:pPr>
            <w:r>
              <w:rPr>
                <w:rFonts w:ascii="Calibri" w:eastAsia="Calibri" w:hAnsi="Calibri"/>
                <w:sz w:val="22"/>
                <w:szCs w:val="22"/>
              </w:rPr>
              <w:t>Security Processing</w:t>
            </w:r>
          </w:p>
        </w:tc>
      </w:tr>
      <w:tr w:rsidR="00442604" w:rsidRPr="001B79CE" w14:paraId="13EB123D" w14:textId="77777777" w:rsidTr="00B65527">
        <w:tc>
          <w:tcPr>
            <w:tcW w:w="1843" w:type="dxa"/>
            <w:shd w:val="clear" w:color="auto" w:fill="auto"/>
          </w:tcPr>
          <w:p w14:paraId="33FADE94" w14:textId="77777777" w:rsidR="00442604" w:rsidRPr="001B79CE" w:rsidRDefault="00442604" w:rsidP="00B65527">
            <w:pPr>
              <w:rPr>
                <w:rFonts w:ascii="Calibri" w:eastAsia="Calibri" w:hAnsi="Calibri"/>
                <w:sz w:val="22"/>
                <w:szCs w:val="22"/>
              </w:rPr>
            </w:pPr>
            <w:r w:rsidRPr="001B79CE">
              <w:rPr>
                <w:rFonts w:ascii="Calibri" w:eastAsia="Calibri" w:hAnsi="Calibri"/>
                <w:sz w:val="22"/>
                <w:szCs w:val="22"/>
              </w:rPr>
              <w:t>Item</w:t>
            </w:r>
          </w:p>
        </w:tc>
        <w:tc>
          <w:tcPr>
            <w:tcW w:w="1843" w:type="dxa"/>
            <w:shd w:val="clear" w:color="auto" w:fill="auto"/>
          </w:tcPr>
          <w:p w14:paraId="3A39B3E6" w14:textId="77777777" w:rsidR="00442604" w:rsidRPr="001B79CE" w:rsidRDefault="00442604" w:rsidP="00B65527">
            <w:pPr>
              <w:rPr>
                <w:rFonts w:ascii="Calibri" w:eastAsia="Calibri" w:hAnsi="Calibri"/>
                <w:sz w:val="22"/>
                <w:szCs w:val="22"/>
              </w:rPr>
            </w:pPr>
            <w:r w:rsidRPr="001B79CE">
              <w:rPr>
                <w:rFonts w:ascii="Calibri" w:eastAsia="Calibri" w:hAnsi="Calibri"/>
                <w:sz w:val="22"/>
                <w:szCs w:val="22"/>
              </w:rPr>
              <w:t>Description</w:t>
            </w:r>
          </w:p>
        </w:tc>
        <w:tc>
          <w:tcPr>
            <w:tcW w:w="1843" w:type="dxa"/>
            <w:shd w:val="clear" w:color="auto" w:fill="auto"/>
          </w:tcPr>
          <w:p w14:paraId="52B75A1E" w14:textId="77777777" w:rsidR="00442604" w:rsidRPr="001B79CE" w:rsidRDefault="00442604" w:rsidP="00B65527">
            <w:pPr>
              <w:rPr>
                <w:rFonts w:ascii="Calibri" w:eastAsia="Calibri" w:hAnsi="Calibri"/>
                <w:sz w:val="22"/>
                <w:szCs w:val="22"/>
              </w:rPr>
            </w:pPr>
            <w:r w:rsidRPr="001B79CE">
              <w:rPr>
                <w:rFonts w:ascii="Calibri" w:eastAsia="Calibri" w:hAnsi="Calibri"/>
                <w:sz w:val="22"/>
                <w:szCs w:val="22"/>
              </w:rPr>
              <w:t>Reference</w:t>
            </w:r>
          </w:p>
        </w:tc>
        <w:tc>
          <w:tcPr>
            <w:tcW w:w="1843" w:type="dxa"/>
            <w:shd w:val="clear" w:color="auto" w:fill="auto"/>
          </w:tcPr>
          <w:p w14:paraId="5F090963" w14:textId="77777777" w:rsidR="00442604" w:rsidRPr="001B79CE" w:rsidRDefault="00442604" w:rsidP="00B65527">
            <w:pPr>
              <w:rPr>
                <w:rFonts w:ascii="Calibri" w:eastAsia="Calibri" w:hAnsi="Calibri"/>
                <w:sz w:val="22"/>
                <w:szCs w:val="22"/>
              </w:rPr>
            </w:pPr>
            <w:r w:rsidRPr="001B79CE">
              <w:rPr>
                <w:rFonts w:ascii="Calibri" w:eastAsia="Calibri" w:hAnsi="Calibri"/>
                <w:sz w:val="22"/>
                <w:szCs w:val="22"/>
              </w:rPr>
              <w:t>Status</w:t>
            </w:r>
          </w:p>
        </w:tc>
        <w:tc>
          <w:tcPr>
            <w:tcW w:w="1844" w:type="dxa"/>
            <w:shd w:val="clear" w:color="auto" w:fill="auto"/>
          </w:tcPr>
          <w:p w14:paraId="78BA08A8" w14:textId="77777777" w:rsidR="00442604" w:rsidRPr="001B79CE" w:rsidRDefault="00442604" w:rsidP="00B65527">
            <w:pPr>
              <w:rPr>
                <w:rFonts w:ascii="Calibri" w:eastAsia="Calibri" w:hAnsi="Calibri"/>
                <w:sz w:val="22"/>
                <w:szCs w:val="22"/>
              </w:rPr>
            </w:pPr>
            <w:r w:rsidRPr="001B79CE">
              <w:rPr>
                <w:rFonts w:ascii="Calibri" w:eastAsia="Calibri" w:hAnsi="Calibri"/>
                <w:sz w:val="22"/>
                <w:szCs w:val="22"/>
              </w:rPr>
              <w:t>Support</w:t>
            </w:r>
          </w:p>
        </w:tc>
      </w:tr>
      <w:tr w:rsidR="00442604" w:rsidRPr="001B79CE" w14:paraId="045D17D6" w14:textId="77777777" w:rsidTr="00B65527">
        <w:tc>
          <w:tcPr>
            <w:tcW w:w="1843" w:type="dxa"/>
            <w:shd w:val="clear" w:color="auto" w:fill="auto"/>
          </w:tcPr>
          <w:p w14:paraId="3C2775B8" w14:textId="77777777" w:rsidR="00442604" w:rsidRPr="001B79CE" w:rsidRDefault="00442604" w:rsidP="00B65527">
            <w:pPr>
              <w:rPr>
                <w:rFonts w:ascii="Calibri" w:eastAsia="Calibri" w:hAnsi="Calibri"/>
                <w:sz w:val="22"/>
                <w:szCs w:val="22"/>
              </w:rPr>
            </w:pPr>
            <w:r>
              <w:rPr>
                <w:rFonts w:ascii="Calibri" w:eastAsia="Calibri" w:hAnsi="Calibri"/>
                <w:sz w:val="22"/>
                <w:szCs w:val="22"/>
              </w:rPr>
              <w:t>8</w:t>
            </w:r>
          </w:p>
        </w:tc>
        <w:tc>
          <w:tcPr>
            <w:tcW w:w="1843" w:type="dxa"/>
            <w:shd w:val="clear" w:color="auto" w:fill="auto"/>
          </w:tcPr>
          <w:p w14:paraId="50DBD93A" w14:textId="77777777" w:rsidR="00442604" w:rsidRPr="001B79CE" w:rsidRDefault="00442604" w:rsidP="00B65527">
            <w:pPr>
              <w:rPr>
                <w:rFonts w:ascii="Calibri" w:eastAsia="Calibri" w:hAnsi="Calibri"/>
                <w:sz w:val="22"/>
                <w:szCs w:val="22"/>
              </w:rPr>
            </w:pPr>
            <w:r>
              <w:rPr>
                <w:rFonts w:ascii="Calibri" w:eastAsia="Calibri" w:hAnsi="Calibri"/>
                <w:sz w:val="22"/>
                <w:szCs w:val="22"/>
              </w:rPr>
              <w:t>Canonicalization</w:t>
            </w:r>
          </w:p>
        </w:tc>
        <w:tc>
          <w:tcPr>
            <w:tcW w:w="1843" w:type="dxa"/>
            <w:shd w:val="clear" w:color="auto" w:fill="auto"/>
          </w:tcPr>
          <w:p w14:paraId="1D29678E" w14:textId="2F2B4075" w:rsidR="00442604" w:rsidRPr="001B79CE" w:rsidRDefault="00442604" w:rsidP="00B65527">
            <w:pP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REF _Ref507596826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4.2.2</w:t>
            </w:r>
            <w:r>
              <w:rPr>
                <w:rFonts w:ascii="Calibri" w:eastAsia="Calibri" w:hAnsi="Calibri"/>
                <w:sz w:val="22"/>
                <w:szCs w:val="22"/>
              </w:rPr>
              <w:fldChar w:fldCharType="end"/>
            </w:r>
          </w:p>
        </w:tc>
        <w:tc>
          <w:tcPr>
            <w:tcW w:w="1843" w:type="dxa"/>
            <w:shd w:val="clear" w:color="auto" w:fill="auto"/>
          </w:tcPr>
          <w:p w14:paraId="58767220" w14:textId="77777777" w:rsidR="00442604" w:rsidRPr="001B79CE" w:rsidRDefault="00442604" w:rsidP="00B65527">
            <w:pPr>
              <w:rPr>
                <w:rFonts w:ascii="Calibri" w:eastAsia="Calibri" w:hAnsi="Calibri"/>
                <w:sz w:val="22"/>
                <w:szCs w:val="22"/>
              </w:rPr>
            </w:pPr>
            <w:r w:rsidRPr="001B79CE">
              <w:rPr>
                <w:rFonts w:ascii="Calibri" w:eastAsia="Calibri" w:hAnsi="Calibri"/>
                <w:sz w:val="22"/>
                <w:szCs w:val="22"/>
              </w:rPr>
              <w:t>M</w:t>
            </w:r>
          </w:p>
        </w:tc>
        <w:tc>
          <w:tcPr>
            <w:tcW w:w="1844" w:type="dxa"/>
            <w:shd w:val="clear" w:color="auto" w:fill="auto"/>
          </w:tcPr>
          <w:p w14:paraId="530510A9" w14:textId="77777777" w:rsidR="00442604" w:rsidRPr="001B79CE" w:rsidRDefault="00442604" w:rsidP="00B65527">
            <w:pPr>
              <w:rPr>
                <w:rFonts w:ascii="Calibri" w:eastAsia="Calibri" w:hAnsi="Calibri"/>
                <w:sz w:val="22"/>
                <w:szCs w:val="22"/>
              </w:rPr>
            </w:pPr>
          </w:p>
        </w:tc>
      </w:tr>
      <w:tr w:rsidR="00442604" w:rsidRPr="001B79CE" w14:paraId="730BF65E" w14:textId="77777777" w:rsidTr="00B65527">
        <w:tc>
          <w:tcPr>
            <w:tcW w:w="1843" w:type="dxa"/>
            <w:shd w:val="clear" w:color="auto" w:fill="auto"/>
          </w:tcPr>
          <w:p w14:paraId="02682A90" w14:textId="77777777" w:rsidR="00442604" w:rsidRDefault="00442604" w:rsidP="00B65527">
            <w:pPr>
              <w:rPr>
                <w:rFonts w:ascii="Calibri" w:eastAsia="Calibri" w:hAnsi="Calibri"/>
                <w:sz w:val="22"/>
                <w:szCs w:val="22"/>
              </w:rPr>
            </w:pPr>
            <w:r>
              <w:rPr>
                <w:rFonts w:ascii="Calibri" w:eastAsia="Calibri" w:hAnsi="Calibri"/>
                <w:sz w:val="22"/>
                <w:szCs w:val="22"/>
              </w:rPr>
              <w:lastRenderedPageBreak/>
              <w:t>9</w:t>
            </w:r>
          </w:p>
        </w:tc>
        <w:tc>
          <w:tcPr>
            <w:tcW w:w="1843" w:type="dxa"/>
            <w:shd w:val="clear" w:color="auto" w:fill="auto"/>
          </w:tcPr>
          <w:p w14:paraId="7135842A" w14:textId="77777777" w:rsidR="00442604" w:rsidRDefault="00442604" w:rsidP="00B65527">
            <w:pPr>
              <w:rPr>
                <w:rFonts w:ascii="Calibri" w:eastAsia="Calibri" w:hAnsi="Calibri"/>
                <w:sz w:val="22"/>
                <w:szCs w:val="22"/>
              </w:rPr>
            </w:pPr>
            <w:r>
              <w:rPr>
                <w:rFonts w:ascii="Calibri" w:eastAsia="Calibri" w:hAnsi="Calibri"/>
                <w:sz w:val="22"/>
                <w:szCs w:val="22"/>
              </w:rPr>
              <w:t>BCB Decryption</w:t>
            </w:r>
          </w:p>
        </w:tc>
        <w:tc>
          <w:tcPr>
            <w:tcW w:w="1843" w:type="dxa"/>
            <w:shd w:val="clear" w:color="auto" w:fill="auto"/>
          </w:tcPr>
          <w:p w14:paraId="2D1C45C2" w14:textId="1200711F" w:rsidR="00442604" w:rsidRDefault="00442604" w:rsidP="00442604">
            <w:pP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REF _Ref507596850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4.2.3.2.1</w:t>
            </w:r>
            <w:r>
              <w:rPr>
                <w:rFonts w:ascii="Calibri" w:eastAsia="Calibri" w:hAnsi="Calibri"/>
                <w:sz w:val="22"/>
                <w:szCs w:val="22"/>
              </w:rPr>
              <w:fldChar w:fldCharType="end"/>
            </w:r>
            <w:r>
              <w:rPr>
                <w:rFonts w:ascii="Calibri" w:eastAsia="Calibri" w:hAnsi="Calibri"/>
                <w:sz w:val="22"/>
                <w:szCs w:val="22"/>
              </w:rPr>
              <w:t xml:space="preserve">, </w:t>
            </w:r>
            <w:r>
              <w:rPr>
                <w:rFonts w:ascii="Calibri" w:eastAsia="Calibri" w:hAnsi="Calibri"/>
                <w:sz w:val="22"/>
                <w:szCs w:val="22"/>
              </w:rPr>
              <w:fldChar w:fldCharType="begin"/>
            </w:r>
            <w:r>
              <w:rPr>
                <w:rFonts w:ascii="Calibri" w:eastAsia="Calibri" w:hAnsi="Calibri"/>
                <w:sz w:val="22"/>
                <w:szCs w:val="22"/>
              </w:rPr>
              <w:instrText xml:space="preserve"> REF _Ref507596857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4.2.3.2.2</w:t>
            </w:r>
            <w:r>
              <w:rPr>
                <w:rFonts w:ascii="Calibri" w:eastAsia="Calibri" w:hAnsi="Calibri"/>
                <w:sz w:val="22"/>
                <w:szCs w:val="22"/>
              </w:rPr>
              <w:fldChar w:fldCharType="end"/>
            </w:r>
            <w:r>
              <w:rPr>
                <w:rFonts w:ascii="Calibri" w:eastAsia="Calibri" w:hAnsi="Calibri"/>
                <w:sz w:val="22"/>
                <w:szCs w:val="22"/>
              </w:rPr>
              <w:t xml:space="preserve">, </w:t>
            </w:r>
            <w:r>
              <w:rPr>
                <w:rFonts w:ascii="Calibri" w:eastAsia="Calibri" w:hAnsi="Calibri"/>
                <w:sz w:val="22"/>
                <w:szCs w:val="22"/>
              </w:rPr>
              <w:fldChar w:fldCharType="begin"/>
            </w:r>
            <w:r>
              <w:rPr>
                <w:rFonts w:ascii="Calibri" w:eastAsia="Calibri" w:hAnsi="Calibri"/>
                <w:sz w:val="22"/>
                <w:szCs w:val="22"/>
              </w:rPr>
              <w:instrText xml:space="preserve"> REF _Ref493083363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4.2.3.2.3</w:t>
            </w:r>
            <w:r>
              <w:rPr>
                <w:rFonts w:ascii="Calibri" w:eastAsia="Calibri" w:hAnsi="Calibri"/>
                <w:sz w:val="22"/>
                <w:szCs w:val="22"/>
              </w:rPr>
              <w:fldChar w:fldCharType="end"/>
            </w:r>
            <w:r>
              <w:rPr>
                <w:rFonts w:ascii="Calibri" w:eastAsia="Calibri" w:hAnsi="Calibri"/>
                <w:sz w:val="22"/>
                <w:szCs w:val="22"/>
              </w:rPr>
              <w:t xml:space="preserve">, </w:t>
            </w:r>
            <w:r>
              <w:rPr>
                <w:rFonts w:ascii="Calibri" w:eastAsia="Calibri" w:hAnsi="Calibri"/>
                <w:sz w:val="22"/>
                <w:szCs w:val="22"/>
              </w:rPr>
              <w:fldChar w:fldCharType="begin"/>
            </w:r>
            <w:r>
              <w:rPr>
                <w:rFonts w:ascii="Calibri" w:eastAsia="Calibri" w:hAnsi="Calibri"/>
                <w:sz w:val="22"/>
                <w:szCs w:val="22"/>
              </w:rPr>
              <w:instrText xml:space="preserve"> REF _Ref493083375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4.2.3.2.4</w:t>
            </w:r>
            <w:r>
              <w:rPr>
                <w:rFonts w:ascii="Calibri" w:eastAsia="Calibri" w:hAnsi="Calibri"/>
                <w:sz w:val="22"/>
                <w:szCs w:val="22"/>
              </w:rPr>
              <w:fldChar w:fldCharType="end"/>
            </w:r>
            <w:r>
              <w:rPr>
                <w:rFonts w:ascii="Calibri" w:eastAsia="Calibri" w:hAnsi="Calibri"/>
                <w:sz w:val="22"/>
                <w:szCs w:val="22"/>
              </w:rPr>
              <w:t xml:space="preserve">, </w:t>
            </w:r>
            <w:r>
              <w:rPr>
                <w:rFonts w:ascii="Calibri" w:eastAsia="Calibri" w:hAnsi="Calibri"/>
                <w:sz w:val="22"/>
                <w:szCs w:val="22"/>
              </w:rPr>
              <w:fldChar w:fldCharType="begin"/>
            </w:r>
            <w:r>
              <w:rPr>
                <w:rFonts w:ascii="Calibri" w:eastAsia="Calibri" w:hAnsi="Calibri"/>
                <w:sz w:val="22"/>
                <w:szCs w:val="22"/>
              </w:rPr>
              <w:instrText xml:space="preserve"> REF _Ref507596891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4.2.3.2.6</w:t>
            </w:r>
            <w:r>
              <w:rPr>
                <w:rFonts w:ascii="Calibri" w:eastAsia="Calibri" w:hAnsi="Calibri"/>
                <w:sz w:val="22"/>
                <w:szCs w:val="22"/>
              </w:rPr>
              <w:fldChar w:fldCharType="end"/>
            </w:r>
            <w:r>
              <w:rPr>
                <w:rFonts w:ascii="Calibri" w:eastAsia="Calibri" w:hAnsi="Calibri"/>
                <w:sz w:val="22"/>
                <w:szCs w:val="22"/>
              </w:rPr>
              <w:t xml:space="preserve">,  </w:t>
            </w:r>
            <w:r>
              <w:rPr>
                <w:rFonts w:ascii="Calibri" w:eastAsia="Calibri" w:hAnsi="Calibri"/>
                <w:sz w:val="22"/>
                <w:szCs w:val="22"/>
              </w:rPr>
              <w:fldChar w:fldCharType="begin"/>
            </w:r>
            <w:r>
              <w:rPr>
                <w:rFonts w:ascii="Calibri" w:eastAsia="Calibri" w:hAnsi="Calibri"/>
                <w:sz w:val="22"/>
                <w:szCs w:val="22"/>
              </w:rPr>
              <w:instrText xml:space="preserve"> REF _Ref507596899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4.2.3.2.7</w:t>
            </w:r>
            <w:r>
              <w:rPr>
                <w:rFonts w:ascii="Calibri" w:eastAsia="Calibri" w:hAnsi="Calibri"/>
                <w:sz w:val="22"/>
                <w:szCs w:val="22"/>
              </w:rPr>
              <w:fldChar w:fldCharType="end"/>
            </w:r>
          </w:p>
        </w:tc>
        <w:tc>
          <w:tcPr>
            <w:tcW w:w="1843" w:type="dxa"/>
            <w:shd w:val="clear" w:color="auto" w:fill="auto"/>
          </w:tcPr>
          <w:p w14:paraId="30ACEFAE" w14:textId="77777777" w:rsidR="00442604" w:rsidRPr="001B79CE" w:rsidRDefault="00442604" w:rsidP="00B65527">
            <w:pPr>
              <w:rPr>
                <w:rFonts w:ascii="Calibri" w:eastAsia="Calibri" w:hAnsi="Calibri"/>
                <w:sz w:val="22"/>
                <w:szCs w:val="22"/>
              </w:rPr>
            </w:pPr>
            <w:r>
              <w:rPr>
                <w:rFonts w:ascii="Calibri" w:eastAsia="Calibri" w:hAnsi="Calibri"/>
                <w:sz w:val="22"/>
                <w:szCs w:val="22"/>
              </w:rPr>
              <w:t>M</w:t>
            </w:r>
          </w:p>
        </w:tc>
        <w:tc>
          <w:tcPr>
            <w:tcW w:w="1844" w:type="dxa"/>
            <w:shd w:val="clear" w:color="auto" w:fill="auto"/>
          </w:tcPr>
          <w:p w14:paraId="7573B5A2" w14:textId="77777777" w:rsidR="00442604" w:rsidRPr="001B79CE" w:rsidRDefault="00442604" w:rsidP="00B65527">
            <w:pPr>
              <w:rPr>
                <w:rFonts w:ascii="Calibri" w:eastAsia="Calibri" w:hAnsi="Calibri"/>
                <w:sz w:val="22"/>
                <w:szCs w:val="22"/>
              </w:rPr>
            </w:pPr>
          </w:p>
        </w:tc>
      </w:tr>
      <w:tr w:rsidR="00442604" w:rsidRPr="001B79CE" w14:paraId="5DB7276F" w14:textId="77777777" w:rsidTr="00B65527">
        <w:tc>
          <w:tcPr>
            <w:tcW w:w="1843" w:type="dxa"/>
            <w:shd w:val="clear" w:color="auto" w:fill="auto"/>
          </w:tcPr>
          <w:p w14:paraId="2CF7715B" w14:textId="77777777" w:rsidR="00442604" w:rsidRDefault="00442604" w:rsidP="00B65527">
            <w:pPr>
              <w:rPr>
                <w:rFonts w:ascii="Calibri" w:eastAsia="Calibri" w:hAnsi="Calibri"/>
                <w:sz w:val="22"/>
                <w:szCs w:val="22"/>
              </w:rPr>
            </w:pPr>
            <w:r>
              <w:rPr>
                <w:rFonts w:ascii="Calibri" w:eastAsia="Calibri" w:hAnsi="Calibri"/>
                <w:sz w:val="22"/>
                <w:szCs w:val="22"/>
              </w:rPr>
              <w:t>10</w:t>
            </w:r>
          </w:p>
        </w:tc>
        <w:tc>
          <w:tcPr>
            <w:tcW w:w="1843" w:type="dxa"/>
            <w:shd w:val="clear" w:color="auto" w:fill="auto"/>
          </w:tcPr>
          <w:p w14:paraId="2BC4779E" w14:textId="77777777" w:rsidR="00442604" w:rsidRDefault="00442604" w:rsidP="00B65527">
            <w:pPr>
              <w:rPr>
                <w:rFonts w:ascii="Calibri" w:eastAsia="Calibri" w:hAnsi="Calibri"/>
                <w:sz w:val="22"/>
                <w:szCs w:val="22"/>
              </w:rPr>
            </w:pPr>
            <w:r>
              <w:rPr>
                <w:rFonts w:ascii="Calibri" w:eastAsia="Calibri" w:hAnsi="Calibri"/>
                <w:sz w:val="22"/>
                <w:szCs w:val="22"/>
              </w:rPr>
              <w:t>BCB Status Reports</w:t>
            </w:r>
          </w:p>
        </w:tc>
        <w:tc>
          <w:tcPr>
            <w:tcW w:w="1843" w:type="dxa"/>
            <w:shd w:val="clear" w:color="auto" w:fill="auto"/>
          </w:tcPr>
          <w:p w14:paraId="2B2DADC9" w14:textId="3931461B" w:rsidR="00442604" w:rsidRDefault="00442604" w:rsidP="00B65527">
            <w:pP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REF _Ref507596911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4.2.3.2.5</w:t>
            </w:r>
            <w:r>
              <w:rPr>
                <w:rFonts w:ascii="Calibri" w:eastAsia="Calibri" w:hAnsi="Calibri"/>
                <w:sz w:val="22"/>
                <w:szCs w:val="22"/>
              </w:rPr>
              <w:fldChar w:fldCharType="end"/>
            </w:r>
          </w:p>
        </w:tc>
        <w:tc>
          <w:tcPr>
            <w:tcW w:w="1843" w:type="dxa"/>
            <w:shd w:val="clear" w:color="auto" w:fill="auto"/>
          </w:tcPr>
          <w:p w14:paraId="1270B324" w14:textId="77777777" w:rsidR="00442604" w:rsidRPr="001B79CE" w:rsidRDefault="00442604" w:rsidP="00B65527">
            <w:pPr>
              <w:rPr>
                <w:rFonts w:ascii="Calibri" w:eastAsia="Calibri" w:hAnsi="Calibri"/>
                <w:sz w:val="22"/>
                <w:szCs w:val="22"/>
              </w:rPr>
            </w:pPr>
            <w:r>
              <w:rPr>
                <w:rFonts w:ascii="Calibri" w:eastAsia="Calibri" w:hAnsi="Calibri"/>
                <w:sz w:val="22"/>
                <w:szCs w:val="22"/>
              </w:rPr>
              <w:t>O</w:t>
            </w:r>
          </w:p>
        </w:tc>
        <w:tc>
          <w:tcPr>
            <w:tcW w:w="1844" w:type="dxa"/>
            <w:shd w:val="clear" w:color="auto" w:fill="auto"/>
          </w:tcPr>
          <w:p w14:paraId="08952B9F" w14:textId="77777777" w:rsidR="00442604" w:rsidRPr="001B79CE" w:rsidRDefault="00442604" w:rsidP="00B65527">
            <w:pPr>
              <w:rPr>
                <w:rFonts w:ascii="Calibri" w:eastAsia="Calibri" w:hAnsi="Calibri"/>
                <w:sz w:val="22"/>
                <w:szCs w:val="22"/>
              </w:rPr>
            </w:pPr>
          </w:p>
        </w:tc>
      </w:tr>
      <w:tr w:rsidR="00442604" w:rsidRPr="001B79CE" w14:paraId="4CC456AC" w14:textId="77777777" w:rsidTr="00B65527">
        <w:tc>
          <w:tcPr>
            <w:tcW w:w="1843" w:type="dxa"/>
            <w:shd w:val="clear" w:color="auto" w:fill="auto"/>
          </w:tcPr>
          <w:p w14:paraId="5670C1C3" w14:textId="77777777" w:rsidR="00442604" w:rsidRDefault="00442604" w:rsidP="00B65527">
            <w:pPr>
              <w:rPr>
                <w:rFonts w:ascii="Calibri" w:eastAsia="Calibri" w:hAnsi="Calibri"/>
                <w:sz w:val="22"/>
                <w:szCs w:val="22"/>
              </w:rPr>
            </w:pPr>
            <w:r>
              <w:rPr>
                <w:rFonts w:ascii="Calibri" w:eastAsia="Calibri" w:hAnsi="Calibri"/>
                <w:sz w:val="22"/>
                <w:szCs w:val="22"/>
              </w:rPr>
              <w:t>11</w:t>
            </w:r>
          </w:p>
        </w:tc>
        <w:tc>
          <w:tcPr>
            <w:tcW w:w="1843" w:type="dxa"/>
            <w:shd w:val="clear" w:color="auto" w:fill="auto"/>
          </w:tcPr>
          <w:p w14:paraId="3EC63A05" w14:textId="77777777" w:rsidR="00442604" w:rsidRDefault="00442604" w:rsidP="00B65527">
            <w:pPr>
              <w:rPr>
                <w:rFonts w:ascii="Calibri" w:eastAsia="Calibri" w:hAnsi="Calibri"/>
                <w:sz w:val="22"/>
                <w:szCs w:val="22"/>
              </w:rPr>
            </w:pPr>
            <w:r>
              <w:rPr>
                <w:rFonts w:ascii="Calibri" w:eastAsia="Calibri" w:hAnsi="Calibri"/>
                <w:sz w:val="22"/>
                <w:szCs w:val="22"/>
              </w:rPr>
              <w:t>BIB Reception</w:t>
            </w:r>
          </w:p>
        </w:tc>
        <w:tc>
          <w:tcPr>
            <w:tcW w:w="1843" w:type="dxa"/>
            <w:shd w:val="clear" w:color="auto" w:fill="auto"/>
          </w:tcPr>
          <w:p w14:paraId="55ACA609" w14:textId="63B1771D" w:rsidR="00442604" w:rsidRDefault="00442604" w:rsidP="00442604">
            <w:pP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REF _Ref507596932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4.2.3.3.1</w:t>
            </w:r>
            <w:r>
              <w:rPr>
                <w:rFonts w:ascii="Calibri" w:eastAsia="Calibri" w:hAnsi="Calibri"/>
                <w:sz w:val="22"/>
                <w:szCs w:val="22"/>
              </w:rPr>
              <w:fldChar w:fldCharType="end"/>
            </w:r>
            <w:r>
              <w:rPr>
                <w:rFonts w:ascii="Calibri" w:eastAsia="Calibri" w:hAnsi="Calibri"/>
                <w:sz w:val="22"/>
                <w:szCs w:val="22"/>
              </w:rPr>
              <w:t xml:space="preserve">, </w:t>
            </w:r>
            <w:r>
              <w:rPr>
                <w:rFonts w:ascii="Calibri" w:eastAsia="Calibri" w:hAnsi="Calibri"/>
                <w:sz w:val="22"/>
                <w:szCs w:val="22"/>
              </w:rPr>
              <w:fldChar w:fldCharType="begin"/>
            </w:r>
            <w:r>
              <w:rPr>
                <w:rFonts w:ascii="Calibri" w:eastAsia="Calibri" w:hAnsi="Calibri"/>
                <w:sz w:val="22"/>
                <w:szCs w:val="22"/>
              </w:rPr>
              <w:instrText xml:space="preserve"> REF _Ref507596940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4.2.3.3.3</w:t>
            </w:r>
            <w:r>
              <w:rPr>
                <w:rFonts w:ascii="Calibri" w:eastAsia="Calibri" w:hAnsi="Calibri"/>
                <w:sz w:val="22"/>
                <w:szCs w:val="22"/>
              </w:rPr>
              <w:fldChar w:fldCharType="end"/>
            </w:r>
            <w:r>
              <w:rPr>
                <w:rFonts w:ascii="Calibri" w:eastAsia="Calibri" w:hAnsi="Calibri"/>
                <w:sz w:val="22"/>
                <w:szCs w:val="22"/>
              </w:rPr>
              <w:t xml:space="preserve">, </w:t>
            </w:r>
            <w:r>
              <w:rPr>
                <w:rFonts w:ascii="Calibri" w:eastAsia="Calibri" w:hAnsi="Calibri"/>
                <w:sz w:val="22"/>
                <w:szCs w:val="22"/>
              </w:rPr>
              <w:fldChar w:fldCharType="begin"/>
            </w:r>
            <w:r>
              <w:rPr>
                <w:rFonts w:ascii="Calibri" w:eastAsia="Calibri" w:hAnsi="Calibri"/>
                <w:sz w:val="22"/>
                <w:szCs w:val="22"/>
              </w:rPr>
              <w:instrText xml:space="preserve"> REF _Ref507596946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4.2.3.3.4</w:t>
            </w:r>
            <w:r>
              <w:rPr>
                <w:rFonts w:ascii="Calibri" w:eastAsia="Calibri" w:hAnsi="Calibri"/>
                <w:sz w:val="22"/>
                <w:szCs w:val="22"/>
              </w:rPr>
              <w:fldChar w:fldCharType="end"/>
            </w:r>
            <w:r>
              <w:rPr>
                <w:rFonts w:ascii="Calibri" w:eastAsia="Calibri" w:hAnsi="Calibri"/>
                <w:sz w:val="22"/>
                <w:szCs w:val="22"/>
              </w:rPr>
              <w:t xml:space="preserve">, </w:t>
            </w:r>
            <w:r>
              <w:rPr>
                <w:rFonts w:ascii="Calibri" w:eastAsia="Calibri" w:hAnsi="Calibri"/>
                <w:sz w:val="22"/>
                <w:szCs w:val="22"/>
              </w:rPr>
              <w:fldChar w:fldCharType="begin"/>
            </w:r>
            <w:r>
              <w:rPr>
                <w:rFonts w:ascii="Calibri" w:eastAsia="Calibri" w:hAnsi="Calibri"/>
                <w:sz w:val="22"/>
                <w:szCs w:val="22"/>
              </w:rPr>
              <w:instrText xml:space="preserve"> REF _Ref507436941 \r \h  \* MERGEFORMAT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4.2.3.3.6</w:t>
            </w:r>
            <w:r>
              <w:rPr>
                <w:rFonts w:ascii="Calibri" w:eastAsia="Calibri" w:hAnsi="Calibri"/>
                <w:sz w:val="22"/>
                <w:szCs w:val="22"/>
              </w:rPr>
              <w:fldChar w:fldCharType="end"/>
            </w:r>
            <w:r>
              <w:rPr>
                <w:rFonts w:ascii="Calibri" w:eastAsia="Calibri" w:hAnsi="Calibri"/>
                <w:sz w:val="22"/>
                <w:szCs w:val="22"/>
              </w:rPr>
              <w:t xml:space="preserve">, </w:t>
            </w:r>
            <w:r>
              <w:rPr>
                <w:rFonts w:ascii="Calibri" w:eastAsia="Calibri" w:hAnsi="Calibri"/>
                <w:sz w:val="22"/>
                <w:szCs w:val="22"/>
              </w:rPr>
              <w:fldChar w:fldCharType="begin"/>
            </w:r>
            <w:r>
              <w:rPr>
                <w:rFonts w:ascii="Calibri" w:eastAsia="Calibri" w:hAnsi="Calibri"/>
                <w:sz w:val="22"/>
                <w:szCs w:val="22"/>
              </w:rPr>
              <w:instrText xml:space="preserve"> REF _Ref507436843 \r \h  \* MERGEFORMAT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4.2.3.3.8</w:t>
            </w:r>
            <w:r>
              <w:rPr>
                <w:rFonts w:ascii="Calibri" w:eastAsia="Calibri" w:hAnsi="Calibri"/>
                <w:sz w:val="22"/>
                <w:szCs w:val="22"/>
              </w:rPr>
              <w:fldChar w:fldCharType="end"/>
            </w:r>
          </w:p>
        </w:tc>
        <w:tc>
          <w:tcPr>
            <w:tcW w:w="1843" w:type="dxa"/>
            <w:shd w:val="clear" w:color="auto" w:fill="auto"/>
          </w:tcPr>
          <w:p w14:paraId="5B6A8767" w14:textId="77777777" w:rsidR="00442604" w:rsidRDefault="00442604" w:rsidP="00B65527">
            <w:pPr>
              <w:rPr>
                <w:rFonts w:ascii="Calibri" w:eastAsia="Calibri" w:hAnsi="Calibri"/>
                <w:sz w:val="22"/>
                <w:szCs w:val="22"/>
              </w:rPr>
            </w:pPr>
            <w:r>
              <w:rPr>
                <w:rFonts w:ascii="Calibri" w:eastAsia="Calibri" w:hAnsi="Calibri"/>
                <w:sz w:val="22"/>
                <w:szCs w:val="22"/>
              </w:rPr>
              <w:t>M</w:t>
            </w:r>
          </w:p>
        </w:tc>
        <w:tc>
          <w:tcPr>
            <w:tcW w:w="1844" w:type="dxa"/>
            <w:shd w:val="clear" w:color="auto" w:fill="auto"/>
          </w:tcPr>
          <w:p w14:paraId="20D955FC" w14:textId="77777777" w:rsidR="00442604" w:rsidRPr="001B79CE" w:rsidRDefault="00442604" w:rsidP="00B65527">
            <w:pPr>
              <w:rPr>
                <w:rFonts w:ascii="Calibri" w:eastAsia="Calibri" w:hAnsi="Calibri"/>
                <w:sz w:val="22"/>
                <w:szCs w:val="22"/>
              </w:rPr>
            </w:pPr>
          </w:p>
        </w:tc>
      </w:tr>
      <w:tr w:rsidR="00442604" w:rsidRPr="001B79CE" w14:paraId="0E2CFE0E" w14:textId="77777777" w:rsidTr="00B65527">
        <w:tc>
          <w:tcPr>
            <w:tcW w:w="1843" w:type="dxa"/>
            <w:shd w:val="clear" w:color="auto" w:fill="auto"/>
          </w:tcPr>
          <w:p w14:paraId="233DF22E" w14:textId="77777777" w:rsidR="00442604" w:rsidRDefault="00442604" w:rsidP="00B65527">
            <w:pPr>
              <w:rPr>
                <w:rFonts w:ascii="Calibri" w:eastAsia="Calibri" w:hAnsi="Calibri"/>
                <w:sz w:val="22"/>
                <w:szCs w:val="22"/>
              </w:rPr>
            </w:pPr>
            <w:r>
              <w:rPr>
                <w:rFonts w:ascii="Calibri" w:eastAsia="Calibri" w:hAnsi="Calibri"/>
                <w:sz w:val="22"/>
                <w:szCs w:val="22"/>
              </w:rPr>
              <w:t>12</w:t>
            </w:r>
          </w:p>
        </w:tc>
        <w:tc>
          <w:tcPr>
            <w:tcW w:w="1843" w:type="dxa"/>
            <w:shd w:val="clear" w:color="auto" w:fill="auto"/>
          </w:tcPr>
          <w:p w14:paraId="1A80A58E" w14:textId="77777777" w:rsidR="00442604" w:rsidRDefault="00442604" w:rsidP="00B65527">
            <w:pPr>
              <w:rPr>
                <w:rFonts w:ascii="Calibri" w:eastAsia="Calibri" w:hAnsi="Calibri"/>
                <w:sz w:val="22"/>
                <w:szCs w:val="22"/>
              </w:rPr>
            </w:pPr>
            <w:r>
              <w:rPr>
                <w:rFonts w:ascii="Calibri" w:eastAsia="Calibri" w:hAnsi="Calibri"/>
                <w:sz w:val="22"/>
                <w:szCs w:val="22"/>
              </w:rPr>
              <w:t>BIB Optional Checking</w:t>
            </w:r>
          </w:p>
        </w:tc>
        <w:tc>
          <w:tcPr>
            <w:tcW w:w="1843" w:type="dxa"/>
            <w:shd w:val="clear" w:color="auto" w:fill="auto"/>
          </w:tcPr>
          <w:p w14:paraId="545C0011" w14:textId="7BC6707F" w:rsidR="00442604" w:rsidRDefault="00442604" w:rsidP="00B65527">
            <w:pP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REF _Ref507596966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4.2.3.3.2</w:t>
            </w:r>
            <w:r>
              <w:rPr>
                <w:rFonts w:ascii="Calibri" w:eastAsia="Calibri" w:hAnsi="Calibri"/>
                <w:sz w:val="22"/>
                <w:szCs w:val="22"/>
              </w:rPr>
              <w:fldChar w:fldCharType="end"/>
            </w:r>
          </w:p>
        </w:tc>
        <w:tc>
          <w:tcPr>
            <w:tcW w:w="1843" w:type="dxa"/>
            <w:shd w:val="clear" w:color="auto" w:fill="auto"/>
          </w:tcPr>
          <w:p w14:paraId="687B70F4" w14:textId="77777777" w:rsidR="00442604" w:rsidRDefault="00442604" w:rsidP="00B65527">
            <w:pPr>
              <w:rPr>
                <w:rFonts w:ascii="Calibri" w:eastAsia="Calibri" w:hAnsi="Calibri"/>
                <w:sz w:val="22"/>
                <w:szCs w:val="22"/>
              </w:rPr>
            </w:pPr>
            <w:r>
              <w:rPr>
                <w:rFonts w:ascii="Calibri" w:eastAsia="Calibri" w:hAnsi="Calibri"/>
                <w:sz w:val="22"/>
                <w:szCs w:val="22"/>
              </w:rPr>
              <w:t>O</w:t>
            </w:r>
          </w:p>
        </w:tc>
        <w:tc>
          <w:tcPr>
            <w:tcW w:w="1844" w:type="dxa"/>
            <w:shd w:val="clear" w:color="auto" w:fill="auto"/>
          </w:tcPr>
          <w:p w14:paraId="62A9263E" w14:textId="77777777" w:rsidR="00442604" w:rsidRPr="001B79CE" w:rsidRDefault="00442604" w:rsidP="00B65527">
            <w:pPr>
              <w:rPr>
                <w:rFonts w:ascii="Calibri" w:eastAsia="Calibri" w:hAnsi="Calibri"/>
                <w:sz w:val="22"/>
                <w:szCs w:val="22"/>
              </w:rPr>
            </w:pPr>
          </w:p>
        </w:tc>
      </w:tr>
      <w:tr w:rsidR="00442604" w:rsidRPr="001B79CE" w14:paraId="0BAB1585" w14:textId="77777777" w:rsidTr="00B65527">
        <w:tc>
          <w:tcPr>
            <w:tcW w:w="1843" w:type="dxa"/>
            <w:shd w:val="clear" w:color="auto" w:fill="auto"/>
          </w:tcPr>
          <w:p w14:paraId="6F1B1748" w14:textId="77777777" w:rsidR="00442604" w:rsidRDefault="00442604" w:rsidP="00B65527">
            <w:pPr>
              <w:rPr>
                <w:rFonts w:ascii="Calibri" w:eastAsia="Calibri" w:hAnsi="Calibri"/>
                <w:sz w:val="22"/>
                <w:szCs w:val="22"/>
              </w:rPr>
            </w:pPr>
            <w:r>
              <w:rPr>
                <w:rFonts w:ascii="Calibri" w:eastAsia="Calibri" w:hAnsi="Calibri"/>
                <w:sz w:val="22"/>
                <w:szCs w:val="22"/>
              </w:rPr>
              <w:t>13</w:t>
            </w:r>
          </w:p>
        </w:tc>
        <w:tc>
          <w:tcPr>
            <w:tcW w:w="1843" w:type="dxa"/>
            <w:shd w:val="clear" w:color="auto" w:fill="auto"/>
          </w:tcPr>
          <w:p w14:paraId="7D5907D5" w14:textId="77777777" w:rsidR="00442604" w:rsidRDefault="00442604" w:rsidP="00B65527">
            <w:pPr>
              <w:rPr>
                <w:rFonts w:ascii="Calibri" w:eastAsia="Calibri" w:hAnsi="Calibri"/>
                <w:sz w:val="22"/>
                <w:szCs w:val="22"/>
              </w:rPr>
            </w:pPr>
            <w:r>
              <w:rPr>
                <w:rFonts w:ascii="Calibri" w:eastAsia="Calibri" w:hAnsi="Calibri"/>
                <w:sz w:val="22"/>
                <w:szCs w:val="22"/>
              </w:rPr>
              <w:t>BIB Discard if no Primary Block Left</w:t>
            </w:r>
          </w:p>
        </w:tc>
        <w:tc>
          <w:tcPr>
            <w:tcW w:w="1843" w:type="dxa"/>
            <w:shd w:val="clear" w:color="auto" w:fill="auto"/>
          </w:tcPr>
          <w:p w14:paraId="5B8E7F1F" w14:textId="326F1F37" w:rsidR="00442604" w:rsidRDefault="00442604" w:rsidP="00B65527">
            <w:pP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REF _Ref507596973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4.2.3.3.5</w:t>
            </w:r>
            <w:r>
              <w:rPr>
                <w:rFonts w:ascii="Calibri" w:eastAsia="Calibri" w:hAnsi="Calibri"/>
                <w:sz w:val="22"/>
                <w:szCs w:val="22"/>
              </w:rPr>
              <w:fldChar w:fldCharType="end"/>
            </w:r>
          </w:p>
        </w:tc>
        <w:tc>
          <w:tcPr>
            <w:tcW w:w="1843" w:type="dxa"/>
            <w:shd w:val="clear" w:color="auto" w:fill="auto"/>
          </w:tcPr>
          <w:p w14:paraId="04AFB523" w14:textId="77777777" w:rsidR="00442604" w:rsidRDefault="00442604" w:rsidP="00B65527">
            <w:pPr>
              <w:rPr>
                <w:rFonts w:ascii="Calibri" w:eastAsia="Calibri" w:hAnsi="Calibri"/>
                <w:sz w:val="22"/>
                <w:szCs w:val="22"/>
              </w:rPr>
            </w:pPr>
            <w:r>
              <w:rPr>
                <w:rFonts w:ascii="Calibri" w:eastAsia="Calibri" w:hAnsi="Calibri"/>
                <w:sz w:val="22"/>
                <w:szCs w:val="22"/>
              </w:rPr>
              <w:t>O</w:t>
            </w:r>
          </w:p>
        </w:tc>
        <w:tc>
          <w:tcPr>
            <w:tcW w:w="1844" w:type="dxa"/>
            <w:shd w:val="clear" w:color="auto" w:fill="auto"/>
          </w:tcPr>
          <w:p w14:paraId="63C4B044" w14:textId="77777777" w:rsidR="00442604" w:rsidRPr="001B79CE" w:rsidRDefault="00442604" w:rsidP="00B65527">
            <w:pPr>
              <w:rPr>
                <w:rFonts w:ascii="Calibri" w:eastAsia="Calibri" w:hAnsi="Calibri"/>
                <w:sz w:val="22"/>
                <w:szCs w:val="22"/>
              </w:rPr>
            </w:pPr>
          </w:p>
        </w:tc>
      </w:tr>
      <w:tr w:rsidR="00442604" w:rsidRPr="001B79CE" w14:paraId="3E7BA76D" w14:textId="77777777" w:rsidTr="00B65527">
        <w:tc>
          <w:tcPr>
            <w:tcW w:w="1843" w:type="dxa"/>
            <w:shd w:val="clear" w:color="auto" w:fill="auto"/>
          </w:tcPr>
          <w:p w14:paraId="3D65499C" w14:textId="77777777" w:rsidR="00442604" w:rsidRDefault="00442604" w:rsidP="00B65527">
            <w:pPr>
              <w:rPr>
                <w:rFonts w:ascii="Calibri" w:eastAsia="Calibri" w:hAnsi="Calibri"/>
                <w:sz w:val="22"/>
                <w:szCs w:val="22"/>
              </w:rPr>
            </w:pPr>
            <w:r>
              <w:rPr>
                <w:rFonts w:ascii="Calibri" w:eastAsia="Calibri" w:hAnsi="Calibri"/>
                <w:sz w:val="22"/>
                <w:szCs w:val="22"/>
              </w:rPr>
              <w:t>14</w:t>
            </w:r>
          </w:p>
        </w:tc>
        <w:tc>
          <w:tcPr>
            <w:tcW w:w="1843" w:type="dxa"/>
            <w:shd w:val="clear" w:color="auto" w:fill="auto"/>
          </w:tcPr>
          <w:p w14:paraId="71C5CBA6" w14:textId="77777777" w:rsidR="00442604" w:rsidRDefault="00442604" w:rsidP="00B65527">
            <w:pPr>
              <w:rPr>
                <w:rFonts w:ascii="Calibri" w:eastAsia="Calibri" w:hAnsi="Calibri"/>
                <w:sz w:val="22"/>
                <w:szCs w:val="22"/>
              </w:rPr>
            </w:pPr>
            <w:r>
              <w:rPr>
                <w:rFonts w:ascii="Calibri" w:eastAsia="Calibri" w:hAnsi="Calibri"/>
                <w:sz w:val="22"/>
                <w:szCs w:val="22"/>
              </w:rPr>
              <w:t>BIB Send Status Report on Failure</w:t>
            </w:r>
          </w:p>
        </w:tc>
        <w:tc>
          <w:tcPr>
            <w:tcW w:w="1843" w:type="dxa"/>
            <w:shd w:val="clear" w:color="auto" w:fill="auto"/>
          </w:tcPr>
          <w:p w14:paraId="4C22814F" w14:textId="721F3632" w:rsidR="00442604" w:rsidRDefault="00442604" w:rsidP="00B65527">
            <w:pP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REF _Ref507436985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4.2.3.3.7</w:t>
            </w:r>
            <w:r>
              <w:rPr>
                <w:rFonts w:ascii="Calibri" w:eastAsia="Calibri" w:hAnsi="Calibri"/>
                <w:sz w:val="22"/>
                <w:szCs w:val="22"/>
              </w:rPr>
              <w:fldChar w:fldCharType="end"/>
            </w:r>
          </w:p>
        </w:tc>
        <w:tc>
          <w:tcPr>
            <w:tcW w:w="1843" w:type="dxa"/>
            <w:shd w:val="clear" w:color="auto" w:fill="auto"/>
          </w:tcPr>
          <w:p w14:paraId="62C7A404" w14:textId="77777777" w:rsidR="00442604" w:rsidRDefault="00442604" w:rsidP="00B65527">
            <w:pPr>
              <w:rPr>
                <w:rFonts w:ascii="Calibri" w:eastAsia="Calibri" w:hAnsi="Calibri"/>
                <w:sz w:val="22"/>
                <w:szCs w:val="22"/>
              </w:rPr>
            </w:pPr>
            <w:r>
              <w:rPr>
                <w:rFonts w:ascii="Calibri" w:eastAsia="Calibri" w:hAnsi="Calibri"/>
                <w:sz w:val="22"/>
                <w:szCs w:val="22"/>
              </w:rPr>
              <w:t>O</w:t>
            </w:r>
          </w:p>
        </w:tc>
        <w:tc>
          <w:tcPr>
            <w:tcW w:w="1844" w:type="dxa"/>
            <w:shd w:val="clear" w:color="auto" w:fill="auto"/>
          </w:tcPr>
          <w:p w14:paraId="1FEC1202" w14:textId="77777777" w:rsidR="00442604" w:rsidRPr="001B79CE" w:rsidRDefault="00442604" w:rsidP="00B65527">
            <w:pPr>
              <w:rPr>
                <w:rFonts w:ascii="Calibri" w:eastAsia="Calibri" w:hAnsi="Calibri"/>
                <w:sz w:val="22"/>
                <w:szCs w:val="22"/>
              </w:rPr>
            </w:pPr>
          </w:p>
        </w:tc>
      </w:tr>
    </w:tbl>
    <w:p w14:paraId="28D2CC21" w14:textId="77777777" w:rsidR="00442604" w:rsidRDefault="00442604" w:rsidP="004426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27"/>
        <w:gridCol w:w="1805"/>
        <w:gridCol w:w="1786"/>
        <w:gridCol w:w="1795"/>
      </w:tblGrid>
      <w:tr w:rsidR="00442604" w:rsidRPr="001B79CE" w14:paraId="71ADBDB1" w14:textId="77777777" w:rsidTr="00B65527">
        <w:tc>
          <w:tcPr>
            <w:tcW w:w="9216" w:type="dxa"/>
            <w:gridSpan w:val="5"/>
            <w:shd w:val="clear" w:color="auto" w:fill="auto"/>
          </w:tcPr>
          <w:p w14:paraId="39EDC510" w14:textId="77777777" w:rsidR="00442604" w:rsidRPr="001B79CE" w:rsidRDefault="00442604" w:rsidP="00B65527">
            <w:pPr>
              <w:rPr>
                <w:rFonts w:ascii="Calibri" w:eastAsia="Calibri" w:hAnsi="Calibri"/>
                <w:sz w:val="22"/>
                <w:szCs w:val="22"/>
              </w:rPr>
            </w:pPr>
            <w:r>
              <w:rPr>
                <w:rFonts w:ascii="Calibri" w:eastAsia="Calibri" w:hAnsi="Calibri"/>
                <w:sz w:val="22"/>
                <w:szCs w:val="22"/>
              </w:rPr>
              <w:t>Fragmentation and Reassembly</w:t>
            </w:r>
          </w:p>
        </w:tc>
      </w:tr>
      <w:tr w:rsidR="00442604" w:rsidRPr="001B79CE" w14:paraId="5D3608D8" w14:textId="77777777" w:rsidTr="00B65527">
        <w:tc>
          <w:tcPr>
            <w:tcW w:w="1843" w:type="dxa"/>
            <w:shd w:val="clear" w:color="auto" w:fill="auto"/>
          </w:tcPr>
          <w:p w14:paraId="3153290F" w14:textId="77777777" w:rsidR="00442604" w:rsidRPr="001B79CE" w:rsidRDefault="00442604" w:rsidP="00B65527">
            <w:pPr>
              <w:rPr>
                <w:rFonts w:ascii="Calibri" w:eastAsia="Calibri" w:hAnsi="Calibri"/>
                <w:sz w:val="22"/>
                <w:szCs w:val="22"/>
              </w:rPr>
            </w:pPr>
            <w:r w:rsidRPr="001B79CE">
              <w:rPr>
                <w:rFonts w:ascii="Calibri" w:eastAsia="Calibri" w:hAnsi="Calibri"/>
                <w:sz w:val="22"/>
                <w:szCs w:val="22"/>
              </w:rPr>
              <w:t>Item</w:t>
            </w:r>
          </w:p>
        </w:tc>
        <w:tc>
          <w:tcPr>
            <w:tcW w:w="1843" w:type="dxa"/>
            <w:shd w:val="clear" w:color="auto" w:fill="auto"/>
          </w:tcPr>
          <w:p w14:paraId="5E5B04BB" w14:textId="77777777" w:rsidR="00442604" w:rsidRPr="001B79CE" w:rsidRDefault="00442604" w:rsidP="00B65527">
            <w:pPr>
              <w:rPr>
                <w:rFonts w:ascii="Calibri" w:eastAsia="Calibri" w:hAnsi="Calibri"/>
                <w:sz w:val="22"/>
                <w:szCs w:val="22"/>
              </w:rPr>
            </w:pPr>
            <w:r w:rsidRPr="001B79CE">
              <w:rPr>
                <w:rFonts w:ascii="Calibri" w:eastAsia="Calibri" w:hAnsi="Calibri"/>
                <w:sz w:val="22"/>
                <w:szCs w:val="22"/>
              </w:rPr>
              <w:t>Description</w:t>
            </w:r>
          </w:p>
        </w:tc>
        <w:tc>
          <w:tcPr>
            <w:tcW w:w="1843" w:type="dxa"/>
            <w:shd w:val="clear" w:color="auto" w:fill="auto"/>
          </w:tcPr>
          <w:p w14:paraId="64D1636E" w14:textId="77777777" w:rsidR="00442604" w:rsidRPr="001B79CE" w:rsidRDefault="00442604" w:rsidP="00B65527">
            <w:pPr>
              <w:rPr>
                <w:rFonts w:ascii="Calibri" w:eastAsia="Calibri" w:hAnsi="Calibri"/>
                <w:sz w:val="22"/>
                <w:szCs w:val="22"/>
              </w:rPr>
            </w:pPr>
            <w:r w:rsidRPr="001B79CE">
              <w:rPr>
                <w:rFonts w:ascii="Calibri" w:eastAsia="Calibri" w:hAnsi="Calibri"/>
                <w:sz w:val="22"/>
                <w:szCs w:val="22"/>
              </w:rPr>
              <w:t>Reference</w:t>
            </w:r>
          </w:p>
        </w:tc>
        <w:tc>
          <w:tcPr>
            <w:tcW w:w="1843" w:type="dxa"/>
            <w:shd w:val="clear" w:color="auto" w:fill="auto"/>
          </w:tcPr>
          <w:p w14:paraId="4FE06992" w14:textId="77777777" w:rsidR="00442604" w:rsidRPr="001B79CE" w:rsidRDefault="00442604" w:rsidP="00B65527">
            <w:pPr>
              <w:rPr>
                <w:rFonts w:ascii="Calibri" w:eastAsia="Calibri" w:hAnsi="Calibri"/>
                <w:sz w:val="22"/>
                <w:szCs w:val="22"/>
              </w:rPr>
            </w:pPr>
            <w:r w:rsidRPr="001B79CE">
              <w:rPr>
                <w:rFonts w:ascii="Calibri" w:eastAsia="Calibri" w:hAnsi="Calibri"/>
                <w:sz w:val="22"/>
                <w:szCs w:val="22"/>
              </w:rPr>
              <w:t>Status</w:t>
            </w:r>
          </w:p>
        </w:tc>
        <w:tc>
          <w:tcPr>
            <w:tcW w:w="1844" w:type="dxa"/>
            <w:shd w:val="clear" w:color="auto" w:fill="auto"/>
          </w:tcPr>
          <w:p w14:paraId="6F3EF47B" w14:textId="77777777" w:rsidR="00442604" w:rsidRPr="001B79CE" w:rsidRDefault="00442604" w:rsidP="00B65527">
            <w:pPr>
              <w:rPr>
                <w:rFonts w:ascii="Calibri" w:eastAsia="Calibri" w:hAnsi="Calibri"/>
                <w:sz w:val="22"/>
                <w:szCs w:val="22"/>
              </w:rPr>
            </w:pPr>
            <w:r w:rsidRPr="001B79CE">
              <w:rPr>
                <w:rFonts w:ascii="Calibri" w:eastAsia="Calibri" w:hAnsi="Calibri"/>
                <w:sz w:val="22"/>
                <w:szCs w:val="22"/>
              </w:rPr>
              <w:t>Support</w:t>
            </w:r>
          </w:p>
        </w:tc>
      </w:tr>
      <w:tr w:rsidR="00442604" w:rsidRPr="001B79CE" w14:paraId="44EBFE9F" w14:textId="77777777" w:rsidTr="00B65527">
        <w:tc>
          <w:tcPr>
            <w:tcW w:w="1843" w:type="dxa"/>
            <w:shd w:val="clear" w:color="auto" w:fill="auto"/>
          </w:tcPr>
          <w:p w14:paraId="7CFE318A" w14:textId="77777777" w:rsidR="00442604" w:rsidRPr="001B79CE" w:rsidRDefault="00442604" w:rsidP="00B65527">
            <w:pPr>
              <w:rPr>
                <w:rFonts w:ascii="Calibri" w:eastAsia="Calibri" w:hAnsi="Calibri"/>
                <w:sz w:val="22"/>
                <w:szCs w:val="22"/>
              </w:rPr>
            </w:pPr>
            <w:r>
              <w:rPr>
                <w:rFonts w:ascii="Calibri" w:eastAsia="Calibri" w:hAnsi="Calibri"/>
                <w:sz w:val="22"/>
                <w:szCs w:val="22"/>
              </w:rPr>
              <w:t>15</w:t>
            </w:r>
          </w:p>
        </w:tc>
        <w:tc>
          <w:tcPr>
            <w:tcW w:w="1843" w:type="dxa"/>
            <w:shd w:val="clear" w:color="auto" w:fill="auto"/>
          </w:tcPr>
          <w:p w14:paraId="3EBF6AA0" w14:textId="77777777" w:rsidR="00442604" w:rsidRPr="001B79CE" w:rsidRDefault="00442604" w:rsidP="00B65527">
            <w:pPr>
              <w:rPr>
                <w:rFonts w:ascii="Calibri" w:eastAsia="Calibri" w:hAnsi="Calibri"/>
                <w:sz w:val="22"/>
                <w:szCs w:val="22"/>
              </w:rPr>
            </w:pPr>
            <w:r>
              <w:rPr>
                <w:rFonts w:ascii="Calibri" w:eastAsia="Calibri" w:hAnsi="Calibri"/>
                <w:sz w:val="22"/>
                <w:szCs w:val="22"/>
              </w:rPr>
              <w:t>Fragmentation</w:t>
            </w:r>
          </w:p>
        </w:tc>
        <w:tc>
          <w:tcPr>
            <w:tcW w:w="1843" w:type="dxa"/>
            <w:shd w:val="clear" w:color="auto" w:fill="auto"/>
          </w:tcPr>
          <w:p w14:paraId="506A60C1" w14:textId="4AFDBAB5" w:rsidR="00442604" w:rsidRPr="001B79CE" w:rsidRDefault="00442604" w:rsidP="00442604">
            <w:pP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REF _Ref507597018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4.2.4.1</w:t>
            </w:r>
            <w:r>
              <w:rPr>
                <w:rFonts w:ascii="Calibri" w:eastAsia="Calibri" w:hAnsi="Calibri"/>
                <w:sz w:val="22"/>
                <w:szCs w:val="22"/>
              </w:rPr>
              <w:fldChar w:fldCharType="end"/>
            </w:r>
            <w:r>
              <w:rPr>
                <w:rFonts w:ascii="Calibri" w:eastAsia="Calibri" w:hAnsi="Calibri"/>
                <w:sz w:val="22"/>
                <w:szCs w:val="22"/>
              </w:rPr>
              <w:t xml:space="preserve">, </w:t>
            </w:r>
            <w:r>
              <w:rPr>
                <w:rFonts w:ascii="Calibri" w:eastAsia="Calibri" w:hAnsi="Calibri"/>
                <w:sz w:val="22"/>
                <w:szCs w:val="22"/>
              </w:rPr>
              <w:fldChar w:fldCharType="begin"/>
            </w:r>
            <w:r>
              <w:rPr>
                <w:rFonts w:ascii="Calibri" w:eastAsia="Calibri" w:hAnsi="Calibri"/>
                <w:sz w:val="22"/>
                <w:szCs w:val="22"/>
              </w:rPr>
              <w:instrText xml:space="preserve"> REF _Ref507597008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4.2.4.2</w:t>
            </w:r>
            <w:r>
              <w:rPr>
                <w:rFonts w:ascii="Calibri" w:eastAsia="Calibri" w:hAnsi="Calibri"/>
                <w:sz w:val="22"/>
                <w:szCs w:val="22"/>
              </w:rPr>
              <w:fldChar w:fldCharType="end"/>
            </w:r>
          </w:p>
        </w:tc>
        <w:tc>
          <w:tcPr>
            <w:tcW w:w="1843" w:type="dxa"/>
            <w:shd w:val="clear" w:color="auto" w:fill="auto"/>
          </w:tcPr>
          <w:p w14:paraId="1C0EA3C8" w14:textId="77777777" w:rsidR="00442604" w:rsidRPr="001B79CE" w:rsidRDefault="00442604" w:rsidP="00B65527">
            <w:pPr>
              <w:rPr>
                <w:rFonts w:ascii="Calibri" w:eastAsia="Calibri" w:hAnsi="Calibri"/>
                <w:sz w:val="22"/>
                <w:szCs w:val="22"/>
              </w:rPr>
            </w:pPr>
            <w:r>
              <w:rPr>
                <w:rFonts w:ascii="Calibri" w:eastAsia="Calibri" w:hAnsi="Calibri"/>
                <w:sz w:val="22"/>
                <w:szCs w:val="22"/>
              </w:rPr>
              <w:t>M</w:t>
            </w:r>
          </w:p>
        </w:tc>
        <w:tc>
          <w:tcPr>
            <w:tcW w:w="1844" w:type="dxa"/>
            <w:shd w:val="clear" w:color="auto" w:fill="auto"/>
          </w:tcPr>
          <w:p w14:paraId="78ADF70F" w14:textId="77777777" w:rsidR="00442604" w:rsidRPr="001B79CE" w:rsidRDefault="00442604" w:rsidP="00B65527">
            <w:pPr>
              <w:rPr>
                <w:rFonts w:ascii="Calibri" w:eastAsia="Calibri" w:hAnsi="Calibri"/>
                <w:sz w:val="22"/>
                <w:szCs w:val="22"/>
              </w:rPr>
            </w:pPr>
          </w:p>
        </w:tc>
      </w:tr>
    </w:tbl>
    <w:p w14:paraId="2C94037D" w14:textId="77777777" w:rsidR="00442604" w:rsidRDefault="00442604" w:rsidP="004426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813"/>
        <w:gridCol w:w="1807"/>
        <w:gridCol w:w="1789"/>
        <w:gridCol w:w="1798"/>
      </w:tblGrid>
      <w:tr w:rsidR="00442604" w:rsidRPr="001B79CE" w14:paraId="250D339C" w14:textId="77777777" w:rsidTr="00B65527">
        <w:tc>
          <w:tcPr>
            <w:tcW w:w="9216" w:type="dxa"/>
            <w:gridSpan w:val="5"/>
            <w:shd w:val="clear" w:color="auto" w:fill="auto"/>
          </w:tcPr>
          <w:p w14:paraId="45569133" w14:textId="77777777" w:rsidR="00442604" w:rsidRPr="001B79CE" w:rsidRDefault="00442604" w:rsidP="00B65527">
            <w:pPr>
              <w:rPr>
                <w:rFonts w:ascii="Calibri" w:eastAsia="Calibri" w:hAnsi="Calibri"/>
                <w:sz w:val="22"/>
                <w:szCs w:val="22"/>
              </w:rPr>
            </w:pPr>
            <w:r>
              <w:rPr>
                <w:rFonts w:ascii="Calibri" w:eastAsia="Calibri" w:hAnsi="Calibri"/>
                <w:sz w:val="22"/>
                <w:szCs w:val="22"/>
              </w:rPr>
              <w:t>Payload-Level Security</w:t>
            </w:r>
          </w:p>
        </w:tc>
      </w:tr>
      <w:tr w:rsidR="00442604" w:rsidRPr="001B79CE" w14:paraId="5019356A" w14:textId="77777777" w:rsidTr="00B65527">
        <w:tc>
          <w:tcPr>
            <w:tcW w:w="1843" w:type="dxa"/>
            <w:shd w:val="clear" w:color="auto" w:fill="auto"/>
          </w:tcPr>
          <w:p w14:paraId="0681B899" w14:textId="77777777" w:rsidR="00442604" w:rsidRPr="001B79CE" w:rsidRDefault="00442604" w:rsidP="00B65527">
            <w:pPr>
              <w:rPr>
                <w:rFonts w:ascii="Calibri" w:eastAsia="Calibri" w:hAnsi="Calibri"/>
                <w:sz w:val="22"/>
                <w:szCs w:val="22"/>
              </w:rPr>
            </w:pPr>
            <w:r w:rsidRPr="001B79CE">
              <w:rPr>
                <w:rFonts w:ascii="Calibri" w:eastAsia="Calibri" w:hAnsi="Calibri"/>
                <w:sz w:val="22"/>
                <w:szCs w:val="22"/>
              </w:rPr>
              <w:t>Item</w:t>
            </w:r>
          </w:p>
        </w:tc>
        <w:tc>
          <w:tcPr>
            <w:tcW w:w="1843" w:type="dxa"/>
            <w:shd w:val="clear" w:color="auto" w:fill="auto"/>
          </w:tcPr>
          <w:p w14:paraId="39937FA7" w14:textId="77777777" w:rsidR="00442604" w:rsidRPr="001B79CE" w:rsidRDefault="00442604" w:rsidP="00B65527">
            <w:pPr>
              <w:rPr>
                <w:rFonts w:ascii="Calibri" w:eastAsia="Calibri" w:hAnsi="Calibri"/>
                <w:sz w:val="22"/>
                <w:szCs w:val="22"/>
              </w:rPr>
            </w:pPr>
            <w:r w:rsidRPr="001B79CE">
              <w:rPr>
                <w:rFonts w:ascii="Calibri" w:eastAsia="Calibri" w:hAnsi="Calibri"/>
                <w:sz w:val="22"/>
                <w:szCs w:val="22"/>
              </w:rPr>
              <w:t>Description</w:t>
            </w:r>
          </w:p>
        </w:tc>
        <w:tc>
          <w:tcPr>
            <w:tcW w:w="1843" w:type="dxa"/>
            <w:shd w:val="clear" w:color="auto" w:fill="auto"/>
          </w:tcPr>
          <w:p w14:paraId="6A94FABD" w14:textId="77777777" w:rsidR="00442604" w:rsidRPr="001B79CE" w:rsidRDefault="00442604" w:rsidP="00B65527">
            <w:pPr>
              <w:rPr>
                <w:rFonts w:ascii="Calibri" w:eastAsia="Calibri" w:hAnsi="Calibri"/>
                <w:sz w:val="22"/>
                <w:szCs w:val="22"/>
              </w:rPr>
            </w:pPr>
            <w:r w:rsidRPr="001B79CE">
              <w:rPr>
                <w:rFonts w:ascii="Calibri" w:eastAsia="Calibri" w:hAnsi="Calibri"/>
                <w:sz w:val="22"/>
                <w:szCs w:val="22"/>
              </w:rPr>
              <w:t>Reference</w:t>
            </w:r>
          </w:p>
        </w:tc>
        <w:tc>
          <w:tcPr>
            <w:tcW w:w="1843" w:type="dxa"/>
            <w:shd w:val="clear" w:color="auto" w:fill="auto"/>
          </w:tcPr>
          <w:p w14:paraId="70641307" w14:textId="77777777" w:rsidR="00442604" w:rsidRPr="001B79CE" w:rsidRDefault="00442604" w:rsidP="00B65527">
            <w:pPr>
              <w:rPr>
                <w:rFonts w:ascii="Calibri" w:eastAsia="Calibri" w:hAnsi="Calibri"/>
                <w:sz w:val="22"/>
                <w:szCs w:val="22"/>
              </w:rPr>
            </w:pPr>
            <w:r w:rsidRPr="001B79CE">
              <w:rPr>
                <w:rFonts w:ascii="Calibri" w:eastAsia="Calibri" w:hAnsi="Calibri"/>
                <w:sz w:val="22"/>
                <w:szCs w:val="22"/>
              </w:rPr>
              <w:t>Status</w:t>
            </w:r>
          </w:p>
        </w:tc>
        <w:tc>
          <w:tcPr>
            <w:tcW w:w="1844" w:type="dxa"/>
            <w:shd w:val="clear" w:color="auto" w:fill="auto"/>
          </w:tcPr>
          <w:p w14:paraId="4A3AE2BC" w14:textId="77777777" w:rsidR="00442604" w:rsidRPr="001B79CE" w:rsidRDefault="00442604" w:rsidP="00B65527">
            <w:pPr>
              <w:rPr>
                <w:rFonts w:ascii="Calibri" w:eastAsia="Calibri" w:hAnsi="Calibri"/>
                <w:sz w:val="22"/>
                <w:szCs w:val="22"/>
              </w:rPr>
            </w:pPr>
            <w:r w:rsidRPr="001B79CE">
              <w:rPr>
                <w:rFonts w:ascii="Calibri" w:eastAsia="Calibri" w:hAnsi="Calibri"/>
                <w:sz w:val="22"/>
                <w:szCs w:val="22"/>
              </w:rPr>
              <w:t>Support</w:t>
            </w:r>
          </w:p>
        </w:tc>
      </w:tr>
      <w:tr w:rsidR="00442604" w:rsidRPr="001B79CE" w14:paraId="0CE417BC" w14:textId="77777777" w:rsidTr="00B65527">
        <w:tc>
          <w:tcPr>
            <w:tcW w:w="1843" w:type="dxa"/>
            <w:shd w:val="clear" w:color="auto" w:fill="auto"/>
          </w:tcPr>
          <w:p w14:paraId="72230BA8" w14:textId="77777777" w:rsidR="00442604" w:rsidRPr="001B79CE" w:rsidRDefault="00442604" w:rsidP="00B65527">
            <w:pPr>
              <w:rPr>
                <w:rFonts w:ascii="Calibri" w:eastAsia="Calibri" w:hAnsi="Calibri"/>
                <w:sz w:val="22"/>
                <w:szCs w:val="22"/>
              </w:rPr>
            </w:pPr>
            <w:r>
              <w:rPr>
                <w:rFonts w:ascii="Calibri" w:eastAsia="Calibri" w:hAnsi="Calibri"/>
                <w:sz w:val="22"/>
                <w:szCs w:val="22"/>
              </w:rPr>
              <w:t>16</w:t>
            </w:r>
          </w:p>
        </w:tc>
        <w:tc>
          <w:tcPr>
            <w:tcW w:w="1843" w:type="dxa"/>
            <w:shd w:val="clear" w:color="auto" w:fill="auto"/>
          </w:tcPr>
          <w:p w14:paraId="4583184D" w14:textId="77777777" w:rsidR="00442604" w:rsidRPr="001B79CE" w:rsidRDefault="00442604" w:rsidP="00B65527">
            <w:pPr>
              <w:rPr>
                <w:rFonts w:ascii="Calibri" w:eastAsia="Calibri" w:hAnsi="Calibri"/>
                <w:sz w:val="22"/>
                <w:szCs w:val="22"/>
              </w:rPr>
            </w:pPr>
            <w:r>
              <w:rPr>
                <w:rFonts w:ascii="Calibri" w:eastAsia="Calibri" w:hAnsi="Calibri"/>
                <w:sz w:val="22"/>
                <w:szCs w:val="22"/>
              </w:rPr>
              <w:t>Use of CMS on payload</w:t>
            </w:r>
          </w:p>
        </w:tc>
        <w:tc>
          <w:tcPr>
            <w:tcW w:w="1843" w:type="dxa"/>
            <w:shd w:val="clear" w:color="auto" w:fill="auto"/>
          </w:tcPr>
          <w:p w14:paraId="51482DF2" w14:textId="53047DC3" w:rsidR="00442604" w:rsidRPr="001B79CE" w:rsidRDefault="00442604" w:rsidP="00B65527">
            <w:pP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REF _Ref507597030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4.2.5.1</w:t>
            </w:r>
            <w:r>
              <w:rPr>
                <w:rFonts w:ascii="Calibri" w:eastAsia="Calibri" w:hAnsi="Calibri"/>
                <w:sz w:val="22"/>
                <w:szCs w:val="22"/>
              </w:rPr>
              <w:fldChar w:fldCharType="end"/>
            </w:r>
          </w:p>
        </w:tc>
        <w:tc>
          <w:tcPr>
            <w:tcW w:w="1843" w:type="dxa"/>
            <w:shd w:val="clear" w:color="auto" w:fill="auto"/>
          </w:tcPr>
          <w:p w14:paraId="59176CF0" w14:textId="77777777" w:rsidR="00442604" w:rsidRPr="001B79CE" w:rsidRDefault="00442604" w:rsidP="00B65527">
            <w:pPr>
              <w:rPr>
                <w:rFonts w:ascii="Calibri" w:eastAsia="Calibri" w:hAnsi="Calibri"/>
                <w:sz w:val="22"/>
                <w:szCs w:val="22"/>
              </w:rPr>
            </w:pPr>
            <w:r>
              <w:rPr>
                <w:rFonts w:ascii="Calibri" w:eastAsia="Calibri" w:hAnsi="Calibri"/>
                <w:sz w:val="22"/>
                <w:szCs w:val="22"/>
              </w:rPr>
              <w:t>O</w:t>
            </w:r>
          </w:p>
        </w:tc>
        <w:tc>
          <w:tcPr>
            <w:tcW w:w="1844" w:type="dxa"/>
            <w:shd w:val="clear" w:color="auto" w:fill="auto"/>
          </w:tcPr>
          <w:p w14:paraId="72BB0CB9" w14:textId="77777777" w:rsidR="00442604" w:rsidRPr="001B79CE" w:rsidRDefault="00442604" w:rsidP="00B65527">
            <w:pPr>
              <w:rPr>
                <w:rFonts w:ascii="Calibri" w:eastAsia="Calibri" w:hAnsi="Calibri"/>
                <w:sz w:val="22"/>
                <w:szCs w:val="22"/>
              </w:rPr>
            </w:pPr>
          </w:p>
        </w:tc>
      </w:tr>
      <w:tr w:rsidR="00442604" w:rsidRPr="001B79CE" w14:paraId="035B3A2E" w14:textId="77777777" w:rsidTr="00B65527">
        <w:tc>
          <w:tcPr>
            <w:tcW w:w="1843" w:type="dxa"/>
            <w:shd w:val="clear" w:color="auto" w:fill="auto"/>
          </w:tcPr>
          <w:p w14:paraId="256F4AF6" w14:textId="77777777" w:rsidR="00442604" w:rsidRDefault="00442604" w:rsidP="00B65527">
            <w:pPr>
              <w:rPr>
                <w:rFonts w:ascii="Calibri" w:eastAsia="Calibri" w:hAnsi="Calibri"/>
                <w:sz w:val="22"/>
                <w:szCs w:val="22"/>
              </w:rPr>
            </w:pPr>
            <w:r>
              <w:rPr>
                <w:rFonts w:ascii="Calibri" w:eastAsia="Calibri" w:hAnsi="Calibri"/>
                <w:sz w:val="22"/>
                <w:szCs w:val="22"/>
              </w:rPr>
              <w:t>16.1</w:t>
            </w:r>
          </w:p>
        </w:tc>
        <w:tc>
          <w:tcPr>
            <w:tcW w:w="1843" w:type="dxa"/>
            <w:shd w:val="clear" w:color="auto" w:fill="auto"/>
          </w:tcPr>
          <w:p w14:paraId="399B73AB" w14:textId="77777777" w:rsidR="00442604" w:rsidRDefault="00442604" w:rsidP="00B65527">
            <w:pPr>
              <w:rPr>
                <w:rFonts w:ascii="Calibri" w:eastAsia="Calibri" w:hAnsi="Calibri"/>
                <w:sz w:val="22"/>
                <w:szCs w:val="22"/>
              </w:rPr>
            </w:pPr>
            <w:r>
              <w:rPr>
                <w:rFonts w:ascii="Calibri" w:eastAsia="Calibri" w:hAnsi="Calibri"/>
                <w:sz w:val="22"/>
                <w:szCs w:val="22"/>
              </w:rPr>
              <w:t>CMS format and processing</w:t>
            </w:r>
          </w:p>
        </w:tc>
        <w:tc>
          <w:tcPr>
            <w:tcW w:w="1843" w:type="dxa"/>
            <w:shd w:val="clear" w:color="auto" w:fill="auto"/>
          </w:tcPr>
          <w:p w14:paraId="1BB138B8" w14:textId="64AF271B" w:rsidR="00442604" w:rsidRDefault="00442604" w:rsidP="00442604">
            <w:pP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REF _Ref507597038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4.2.5.3</w:t>
            </w:r>
            <w:r>
              <w:rPr>
                <w:rFonts w:ascii="Calibri" w:eastAsia="Calibri" w:hAnsi="Calibri"/>
                <w:sz w:val="22"/>
                <w:szCs w:val="22"/>
              </w:rPr>
              <w:fldChar w:fldCharType="end"/>
            </w:r>
            <w:r>
              <w:rPr>
                <w:rFonts w:ascii="Calibri" w:eastAsia="Calibri" w:hAnsi="Calibri"/>
                <w:sz w:val="22"/>
                <w:szCs w:val="22"/>
              </w:rPr>
              <w:t xml:space="preserve">, </w:t>
            </w:r>
            <w:r>
              <w:rPr>
                <w:rFonts w:ascii="Calibri" w:eastAsia="Calibri" w:hAnsi="Calibri"/>
                <w:sz w:val="22"/>
                <w:szCs w:val="22"/>
              </w:rPr>
              <w:fldChar w:fldCharType="begin"/>
            </w:r>
            <w:r>
              <w:rPr>
                <w:rFonts w:ascii="Calibri" w:eastAsia="Calibri" w:hAnsi="Calibri"/>
                <w:sz w:val="22"/>
                <w:szCs w:val="22"/>
              </w:rPr>
              <w:instrText xml:space="preserve"> REF _Ref493084537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4.2.5.4</w:t>
            </w:r>
            <w:r>
              <w:rPr>
                <w:rFonts w:ascii="Calibri" w:eastAsia="Calibri" w:hAnsi="Calibri"/>
                <w:sz w:val="22"/>
                <w:szCs w:val="22"/>
              </w:rPr>
              <w:fldChar w:fldCharType="end"/>
            </w:r>
            <w:r>
              <w:rPr>
                <w:rFonts w:ascii="Calibri" w:eastAsia="Calibri" w:hAnsi="Calibri"/>
                <w:sz w:val="22"/>
                <w:szCs w:val="22"/>
              </w:rPr>
              <w:t xml:space="preserve">, </w:t>
            </w:r>
            <w:r>
              <w:rPr>
                <w:rFonts w:ascii="Calibri" w:eastAsia="Calibri" w:hAnsi="Calibri"/>
                <w:sz w:val="22"/>
                <w:szCs w:val="22"/>
              </w:rPr>
              <w:fldChar w:fldCharType="begin"/>
            </w:r>
            <w:r>
              <w:rPr>
                <w:rFonts w:ascii="Calibri" w:eastAsia="Calibri" w:hAnsi="Calibri"/>
                <w:sz w:val="22"/>
                <w:szCs w:val="22"/>
              </w:rPr>
              <w:instrText xml:space="preserve"> REF _Ref507597050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4.2.5.5</w:t>
            </w:r>
            <w:r>
              <w:rPr>
                <w:rFonts w:ascii="Calibri" w:eastAsia="Calibri" w:hAnsi="Calibri"/>
                <w:sz w:val="22"/>
                <w:szCs w:val="22"/>
              </w:rPr>
              <w:fldChar w:fldCharType="end"/>
            </w:r>
            <w:r>
              <w:rPr>
                <w:rFonts w:ascii="Calibri" w:eastAsia="Calibri" w:hAnsi="Calibri"/>
                <w:sz w:val="22"/>
                <w:szCs w:val="22"/>
              </w:rPr>
              <w:t xml:space="preserve">, </w:t>
            </w:r>
            <w:r>
              <w:rPr>
                <w:rFonts w:ascii="Calibri" w:eastAsia="Calibri" w:hAnsi="Calibri"/>
                <w:sz w:val="22"/>
                <w:szCs w:val="22"/>
              </w:rPr>
              <w:fldChar w:fldCharType="begin"/>
            </w:r>
            <w:r>
              <w:rPr>
                <w:rFonts w:ascii="Calibri" w:eastAsia="Calibri" w:hAnsi="Calibri"/>
                <w:sz w:val="22"/>
                <w:szCs w:val="22"/>
              </w:rPr>
              <w:instrText xml:space="preserve"> REF _Ref507597057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4.2.5.6</w:t>
            </w:r>
            <w:r>
              <w:rPr>
                <w:rFonts w:ascii="Calibri" w:eastAsia="Calibri" w:hAnsi="Calibri"/>
                <w:sz w:val="22"/>
                <w:szCs w:val="22"/>
              </w:rPr>
              <w:fldChar w:fldCharType="end"/>
            </w:r>
            <w:r>
              <w:rPr>
                <w:rFonts w:ascii="Calibri" w:eastAsia="Calibri" w:hAnsi="Calibri"/>
                <w:sz w:val="22"/>
                <w:szCs w:val="22"/>
              </w:rPr>
              <w:t xml:space="preserve">, </w:t>
            </w:r>
            <w:r>
              <w:rPr>
                <w:rFonts w:ascii="Calibri" w:eastAsia="Calibri" w:hAnsi="Calibri"/>
                <w:sz w:val="22"/>
                <w:szCs w:val="22"/>
              </w:rPr>
              <w:fldChar w:fldCharType="begin"/>
            </w:r>
            <w:r>
              <w:rPr>
                <w:rFonts w:ascii="Calibri" w:eastAsia="Calibri" w:hAnsi="Calibri"/>
                <w:sz w:val="22"/>
                <w:szCs w:val="22"/>
              </w:rPr>
              <w:instrText xml:space="preserve"> REF _Ref507597062 \r \h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4.2.5.7</w:t>
            </w:r>
            <w:r>
              <w:rPr>
                <w:rFonts w:ascii="Calibri" w:eastAsia="Calibri" w:hAnsi="Calibri"/>
                <w:sz w:val="22"/>
                <w:szCs w:val="22"/>
              </w:rPr>
              <w:fldChar w:fldCharType="end"/>
            </w:r>
          </w:p>
        </w:tc>
        <w:tc>
          <w:tcPr>
            <w:tcW w:w="1843" w:type="dxa"/>
            <w:shd w:val="clear" w:color="auto" w:fill="auto"/>
          </w:tcPr>
          <w:p w14:paraId="78D9BD43" w14:textId="77777777" w:rsidR="00442604" w:rsidRDefault="00442604" w:rsidP="00B65527">
            <w:pPr>
              <w:rPr>
                <w:rFonts w:ascii="Calibri" w:eastAsia="Calibri" w:hAnsi="Calibri"/>
                <w:sz w:val="22"/>
                <w:szCs w:val="22"/>
              </w:rPr>
            </w:pPr>
            <w:r>
              <w:rPr>
                <w:rFonts w:ascii="Calibri" w:eastAsia="Calibri" w:hAnsi="Calibri"/>
                <w:sz w:val="22"/>
                <w:szCs w:val="22"/>
              </w:rPr>
              <w:t>c</w:t>
            </w:r>
            <w:r w:rsidRPr="00C839BF">
              <w:rPr>
                <w:rFonts w:ascii="Calibri" w:eastAsia="Calibri" w:hAnsi="Calibri"/>
                <w:sz w:val="22"/>
                <w:szCs w:val="22"/>
              </w:rPr>
              <w:t>:m</w:t>
            </w:r>
          </w:p>
        </w:tc>
        <w:tc>
          <w:tcPr>
            <w:tcW w:w="1844" w:type="dxa"/>
            <w:shd w:val="clear" w:color="auto" w:fill="auto"/>
          </w:tcPr>
          <w:p w14:paraId="543EAC0C" w14:textId="77777777" w:rsidR="00442604" w:rsidRPr="001B79CE" w:rsidRDefault="00442604" w:rsidP="00B65527">
            <w:pPr>
              <w:rPr>
                <w:rFonts w:ascii="Calibri" w:eastAsia="Calibri" w:hAnsi="Calibri"/>
                <w:sz w:val="22"/>
                <w:szCs w:val="22"/>
              </w:rPr>
            </w:pPr>
          </w:p>
        </w:tc>
      </w:tr>
    </w:tbl>
    <w:p w14:paraId="5DD3A6D0" w14:textId="77777777" w:rsidR="00442604" w:rsidRDefault="00442604" w:rsidP="00442604"/>
    <w:p w14:paraId="1BB36AEE" w14:textId="77777777" w:rsidR="00442604" w:rsidRDefault="00442604" w:rsidP="00442604"/>
    <w:tbl>
      <w:tblPr>
        <w:tblW w:w="924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239"/>
        <w:gridCol w:w="1128"/>
        <w:gridCol w:w="772"/>
        <w:gridCol w:w="3309"/>
        <w:gridCol w:w="2159"/>
      </w:tblGrid>
      <w:tr w:rsidR="00442604" w:rsidRPr="001B79CE" w14:paraId="796AF569" w14:textId="77777777" w:rsidTr="00B65527">
        <w:trPr>
          <w:trHeight w:val="432"/>
        </w:trPr>
        <w:tc>
          <w:tcPr>
            <w:tcW w:w="9241" w:type="dxa"/>
            <w:gridSpan w:val="6"/>
            <w:shd w:val="clear" w:color="auto" w:fill="auto"/>
            <w:vAlign w:val="center"/>
          </w:tcPr>
          <w:p w14:paraId="4D19FF7B" w14:textId="77777777" w:rsidR="00442604" w:rsidRDefault="00442604" w:rsidP="00B65527">
            <w:pPr>
              <w:rPr>
                <w:rFonts w:ascii="Calibri" w:eastAsia="Calibri" w:hAnsi="Calibri"/>
                <w:sz w:val="22"/>
                <w:szCs w:val="22"/>
              </w:rPr>
            </w:pPr>
            <w:r>
              <w:rPr>
                <w:rFonts w:ascii="Calibri" w:eastAsia="Calibri" w:hAnsi="Calibri"/>
                <w:sz w:val="22"/>
                <w:szCs w:val="22"/>
              </w:rPr>
              <w:t>Policy Considerations</w:t>
            </w:r>
          </w:p>
        </w:tc>
      </w:tr>
      <w:tr w:rsidR="00442604" w:rsidRPr="001B79CE" w14:paraId="4C45890F" w14:textId="77777777" w:rsidTr="00B65527">
        <w:tc>
          <w:tcPr>
            <w:tcW w:w="634" w:type="dxa"/>
            <w:shd w:val="clear" w:color="auto" w:fill="auto"/>
          </w:tcPr>
          <w:p w14:paraId="1755B449" w14:textId="77777777" w:rsidR="00442604" w:rsidRPr="001B79CE" w:rsidRDefault="00442604" w:rsidP="00B65527">
            <w:pPr>
              <w:rPr>
                <w:rFonts w:ascii="Calibri" w:eastAsia="Calibri" w:hAnsi="Calibri"/>
                <w:sz w:val="22"/>
                <w:szCs w:val="22"/>
              </w:rPr>
            </w:pPr>
            <w:r w:rsidRPr="001B79CE">
              <w:rPr>
                <w:rFonts w:ascii="Calibri" w:eastAsia="Calibri" w:hAnsi="Calibri"/>
                <w:sz w:val="22"/>
                <w:szCs w:val="22"/>
              </w:rPr>
              <w:t>Item</w:t>
            </w:r>
          </w:p>
        </w:tc>
        <w:tc>
          <w:tcPr>
            <w:tcW w:w="1239" w:type="dxa"/>
            <w:shd w:val="clear" w:color="auto" w:fill="auto"/>
          </w:tcPr>
          <w:p w14:paraId="4DF200CD" w14:textId="77777777" w:rsidR="00442604" w:rsidRPr="001B79CE" w:rsidRDefault="00442604" w:rsidP="00B65527">
            <w:pPr>
              <w:rPr>
                <w:rFonts w:ascii="Calibri" w:eastAsia="Calibri" w:hAnsi="Calibri"/>
                <w:sz w:val="22"/>
                <w:szCs w:val="22"/>
              </w:rPr>
            </w:pPr>
            <w:r w:rsidRPr="001B79CE">
              <w:rPr>
                <w:rFonts w:ascii="Calibri" w:eastAsia="Calibri" w:hAnsi="Calibri"/>
                <w:sz w:val="22"/>
                <w:szCs w:val="22"/>
              </w:rPr>
              <w:t>Description</w:t>
            </w:r>
          </w:p>
        </w:tc>
        <w:tc>
          <w:tcPr>
            <w:tcW w:w="1128" w:type="dxa"/>
            <w:shd w:val="clear" w:color="auto" w:fill="auto"/>
          </w:tcPr>
          <w:p w14:paraId="58159FB9" w14:textId="77777777" w:rsidR="00442604" w:rsidRPr="001B79CE" w:rsidRDefault="00442604" w:rsidP="00B65527">
            <w:pPr>
              <w:rPr>
                <w:rFonts w:ascii="Calibri" w:eastAsia="Calibri" w:hAnsi="Calibri"/>
                <w:sz w:val="22"/>
                <w:szCs w:val="22"/>
              </w:rPr>
            </w:pPr>
            <w:r w:rsidRPr="001B79CE">
              <w:rPr>
                <w:rFonts w:ascii="Calibri" w:eastAsia="Calibri" w:hAnsi="Calibri"/>
                <w:sz w:val="22"/>
                <w:szCs w:val="22"/>
              </w:rPr>
              <w:t>Reference</w:t>
            </w:r>
          </w:p>
        </w:tc>
        <w:tc>
          <w:tcPr>
            <w:tcW w:w="768" w:type="dxa"/>
          </w:tcPr>
          <w:p w14:paraId="509D6196" w14:textId="77777777" w:rsidR="00442604" w:rsidRDefault="00442604" w:rsidP="00B65527">
            <w:pPr>
              <w:rPr>
                <w:rFonts w:ascii="Calibri" w:eastAsia="Calibri" w:hAnsi="Calibri"/>
                <w:sz w:val="22"/>
                <w:szCs w:val="22"/>
              </w:rPr>
            </w:pPr>
            <w:r>
              <w:rPr>
                <w:rFonts w:ascii="Calibri" w:eastAsia="Calibri" w:hAnsi="Calibri"/>
                <w:sz w:val="22"/>
                <w:szCs w:val="22"/>
              </w:rPr>
              <w:t>Status</w:t>
            </w:r>
          </w:p>
        </w:tc>
        <w:tc>
          <w:tcPr>
            <w:tcW w:w="3312" w:type="dxa"/>
            <w:shd w:val="clear" w:color="auto" w:fill="auto"/>
          </w:tcPr>
          <w:p w14:paraId="40B5881E" w14:textId="77777777" w:rsidR="00442604" w:rsidRPr="001B79CE" w:rsidRDefault="00442604" w:rsidP="00B65527">
            <w:pPr>
              <w:rPr>
                <w:rFonts w:ascii="Calibri" w:eastAsia="Calibri" w:hAnsi="Calibri"/>
                <w:sz w:val="22"/>
                <w:szCs w:val="22"/>
              </w:rPr>
            </w:pPr>
            <w:r>
              <w:rPr>
                <w:rFonts w:ascii="Calibri" w:eastAsia="Calibri" w:hAnsi="Calibri"/>
                <w:sz w:val="22"/>
                <w:szCs w:val="22"/>
              </w:rPr>
              <w:t>Options</w:t>
            </w:r>
          </w:p>
        </w:tc>
        <w:tc>
          <w:tcPr>
            <w:tcW w:w="2160" w:type="dxa"/>
            <w:shd w:val="clear" w:color="auto" w:fill="auto"/>
          </w:tcPr>
          <w:p w14:paraId="0F33AB76" w14:textId="77777777" w:rsidR="00442604" w:rsidRPr="001B79CE" w:rsidRDefault="00442604" w:rsidP="00B65527">
            <w:pPr>
              <w:rPr>
                <w:rFonts w:ascii="Calibri" w:eastAsia="Calibri" w:hAnsi="Calibri"/>
                <w:sz w:val="22"/>
                <w:szCs w:val="22"/>
              </w:rPr>
            </w:pPr>
            <w:r>
              <w:rPr>
                <w:rFonts w:ascii="Calibri" w:eastAsia="Calibri" w:hAnsi="Calibri"/>
                <w:sz w:val="22"/>
                <w:szCs w:val="22"/>
              </w:rPr>
              <w:t>Treatment</w:t>
            </w:r>
          </w:p>
        </w:tc>
      </w:tr>
      <w:tr w:rsidR="00442604" w:rsidRPr="001B79CE" w14:paraId="05DC84B5" w14:textId="77777777" w:rsidTr="00B65527">
        <w:tc>
          <w:tcPr>
            <w:tcW w:w="634" w:type="dxa"/>
            <w:shd w:val="clear" w:color="auto" w:fill="auto"/>
          </w:tcPr>
          <w:p w14:paraId="22A7F152" w14:textId="77777777" w:rsidR="00442604" w:rsidRPr="001B79CE" w:rsidRDefault="00442604" w:rsidP="00B65527">
            <w:pPr>
              <w:rPr>
                <w:rFonts w:ascii="Calibri" w:eastAsia="Calibri" w:hAnsi="Calibri"/>
                <w:sz w:val="22"/>
                <w:szCs w:val="22"/>
              </w:rPr>
            </w:pPr>
            <w:r>
              <w:rPr>
                <w:rFonts w:ascii="Calibri" w:eastAsia="Calibri" w:hAnsi="Calibri"/>
                <w:sz w:val="22"/>
                <w:szCs w:val="22"/>
              </w:rPr>
              <w:t>17</w:t>
            </w:r>
          </w:p>
        </w:tc>
        <w:tc>
          <w:tcPr>
            <w:tcW w:w="1239" w:type="dxa"/>
            <w:shd w:val="clear" w:color="auto" w:fill="auto"/>
          </w:tcPr>
          <w:p w14:paraId="1FE1ADB5" w14:textId="77777777" w:rsidR="00442604" w:rsidRPr="001B79CE" w:rsidRDefault="00442604" w:rsidP="00B65527">
            <w:pPr>
              <w:rPr>
                <w:rFonts w:ascii="Calibri" w:eastAsia="Calibri" w:hAnsi="Calibri"/>
                <w:sz w:val="22"/>
                <w:szCs w:val="22"/>
              </w:rPr>
            </w:pPr>
            <w:r>
              <w:rPr>
                <w:rFonts w:ascii="Calibri" w:eastAsia="Calibri" w:hAnsi="Calibri"/>
                <w:sz w:val="22"/>
                <w:szCs w:val="22"/>
              </w:rPr>
              <w:t>Dealing with violations</w:t>
            </w:r>
          </w:p>
        </w:tc>
        <w:tc>
          <w:tcPr>
            <w:tcW w:w="1128" w:type="dxa"/>
            <w:shd w:val="clear" w:color="auto" w:fill="auto"/>
          </w:tcPr>
          <w:p w14:paraId="2FD1C735" w14:textId="77777777" w:rsidR="00442604" w:rsidRPr="001B79CE" w:rsidRDefault="00442604" w:rsidP="00B65527">
            <w:pP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REF _Ref507597087 \r \h  \* MERGEFORMAT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5.2.1</w:t>
            </w:r>
            <w:r>
              <w:rPr>
                <w:rFonts w:ascii="Calibri" w:eastAsia="Calibri" w:hAnsi="Calibri"/>
                <w:sz w:val="22"/>
                <w:szCs w:val="22"/>
              </w:rPr>
              <w:fldChar w:fldCharType="end"/>
            </w:r>
          </w:p>
        </w:tc>
        <w:tc>
          <w:tcPr>
            <w:tcW w:w="768" w:type="dxa"/>
          </w:tcPr>
          <w:p w14:paraId="1DD3F68D" w14:textId="77777777" w:rsidR="00442604" w:rsidRDefault="00442604" w:rsidP="00B65527">
            <w:pPr>
              <w:rPr>
                <w:rFonts w:ascii="Calibri" w:eastAsia="Calibri" w:hAnsi="Calibri"/>
                <w:sz w:val="22"/>
                <w:szCs w:val="22"/>
              </w:rPr>
            </w:pPr>
            <w:r>
              <w:rPr>
                <w:rFonts w:ascii="Calibri" w:eastAsia="Calibri" w:hAnsi="Calibri"/>
                <w:sz w:val="22"/>
                <w:szCs w:val="22"/>
              </w:rPr>
              <w:t>M</w:t>
            </w:r>
          </w:p>
        </w:tc>
        <w:tc>
          <w:tcPr>
            <w:tcW w:w="3312" w:type="dxa"/>
            <w:shd w:val="clear" w:color="auto" w:fill="auto"/>
          </w:tcPr>
          <w:p w14:paraId="67A63ED6" w14:textId="77777777" w:rsidR="00442604" w:rsidRPr="001B79CE" w:rsidRDefault="00442604" w:rsidP="00442604">
            <w:pPr>
              <w:rPr>
                <w:rFonts w:ascii="Calibri" w:eastAsia="Calibri" w:hAnsi="Calibri"/>
                <w:sz w:val="22"/>
                <w:szCs w:val="22"/>
              </w:rPr>
            </w:pPr>
            <w:r>
              <w:rPr>
                <w:rFonts w:ascii="Calibri" w:eastAsia="Calibri" w:hAnsi="Calibri"/>
                <w:sz w:val="22"/>
                <w:szCs w:val="22"/>
              </w:rPr>
              <w:t>Discard bundle; discard affected block; favor one security option (specify method of determination).</w:t>
            </w:r>
          </w:p>
        </w:tc>
        <w:tc>
          <w:tcPr>
            <w:tcW w:w="2160" w:type="dxa"/>
            <w:shd w:val="clear" w:color="auto" w:fill="auto"/>
          </w:tcPr>
          <w:p w14:paraId="6FC579BF" w14:textId="77777777" w:rsidR="00442604" w:rsidRPr="001B79CE" w:rsidRDefault="00442604" w:rsidP="00B65527">
            <w:pPr>
              <w:rPr>
                <w:rFonts w:ascii="Calibri" w:eastAsia="Calibri" w:hAnsi="Calibri"/>
                <w:sz w:val="22"/>
                <w:szCs w:val="22"/>
              </w:rPr>
            </w:pPr>
          </w:p>
        </w:tc>
      </w:tr>
      <w:tr w:rsidR="00442604" w:rsidRPr="001B79CE" w14:paraId="40BE31FD" w14:textId="77777777" w:rsidTr="00B65527">
        <w:tc>
          <w:tcPr>
            <w:tcW w:w="634" w:type="dxa"/>
            <w:shd w:val="clear" w:color="auto" w:fill="auto"/>
          </w:tcPr>
          <w:p w14:paraId="77DBD204" w14:textId="77777777" w:rsidR="00442604" w:rsidRDefault="00442604" w:rsidP="00B65527">
            <w:pPr>
              <w:rPr>
                <w:rFonts w:ascii="Calibri" w:eastAsia="Calibri" w:hAnsi="Calibri"/>
                <w:sz w:val="22"/>
                <w:szCs w:val="22"/>
              </w:rPr>
            </w:pPr>
            <w:r>
              <w:rPr>
                <w:rFonts w:ascii="Calibri" w:eastAsia="Calibri" w:hAnsi="Calibri"/>
                <w:sz w:val="22"/>
                <w:szCs w:val="22"/>
              </w:rPr>
              <w:t>18</w:t>
            </w:r>
          </w:p>
        </w:tc>
        <w:tc>
          <w:tcPr>
            <w:tcW w:w="1239" w:type="dxa"/>
            <w:shd w:val="clear" w:color="auto" w:fill="auto"/>
          </w:tcPr>
          <w:p w14:paraId="4714E17B" w14:textId="77777777" w:rsidR="00442604" w:rsidRDefault="00442604" w:rsidP="00B65527">
            <w:pPr>
              <w:rPr>
                <w:rFonts w:ascii="Calibri" w:eastAsia="Calibri" w:hAnsi="Calibri"/>
                <w:sz w:val="22"/>
                <w:szCs w:val="22"/>
              </w:rPr>
            </w:pPr>
            <w:r>
              <w:rPr>
                <w:rFonts w:ascii="Calibri" w:eastAsia="Calibri" w:hAnsi="Calibri"/>
                <w:sz w:val="22"/>
                <w:szCs w:val="22"/>
              </w:rPr>
              <w:t>Security operations to apply</w:t>
            </w:r>
          </w:p>
        </w:tc>
        <w:tc>
          <w:tcPr>
            <w:tcW w:w="1128" w:type="dxa"/>
            <w:shd w:val="clear" w:color="auto" w:fill="auto"/>
          </w:tcPr>
          <w:p w14:paraId="071B199B" w14:textId="77777777" w:rsidR="00442604" w:rsidRDefault="00442604" w:rsidP="00B65527">
            <w:pP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REF _Ref507597094 \r \h  \* MERGEFORMAT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5.2.2</w:t>
            </w:r>
            <w:r>
              <w:rPr>
                <w:rFonts w:ascii="Calibri" w:eastAsia="Calibri" w:hAnsi="Calibri"/>
                <w:sz w:val="22"/>
                <w:szCs w:val="22"/>
              </w:rPr>
              <w:fldChar w:fldCharType="end"/>
            </w:r>
          </w:p>
        </w:tc>
        <w:tc>
          <w:tcPr>
            <w:tcW w:w="768" w:type="dxa"/>
          </w:tcPr>
          <w:p w14:paraId="35B214B1" w14:textId="77777777" w:rsidR="00442604" w:rsidRDefault="00442604" w:rsidP="00B65527">
            <w:pPr>
              <w:rPr>
                <w:rFonts w:ascii="Calibri" w:eastAsia="Calibri" w:hAnsi="Calibri"/>
                <w:sz w:val="22"/>
                <w:szCs w:val="22"/>
              </w:rPr>
            </w:pPr>
            <w:r>
              <w:rPr>
                <w:rFonts w:ascii="Calibri" w:eastAsia="Calibri" w:hAnsi="Calibri"/>
                <w:sz w:val="22"/>
                <w:szCs w:val="22"/>
              </w:rPr>
              <w:t>M</w:t>
            </w:r>
          </w:p>
        </w:tc>
        <w:tc>
          <w:tcPr>
            <w:tcW w:w="3312" w:type="dxa"/>
            <w:shd w:val="clear" w:color="auto" w:fill="auto"/>
          </w:tcPr>
          <w:p w14:paraId="0BD0ABC9" w14:textId="77777777" w:rsidR="00442604" w:rsidRPr="001B79CE" w:rsidRDefault="00442604" w:rsidP="00442604">
            <w:pPr>
              <w:rPr>
                <w:rFonts w:ascii="Calibri" w:eastAsia="Calibri" w:hAnsi="Calibri"/>
                <w:sz w:val="22"/>
                <w:szCs w:val="22"/>
              </w:rPr>
            </w:pPr>
            <w:r>
              <w:rPr>
                <w:rFonts w:ascii="Calibri" w:eastAsia="Calibri" w:hAnsi="Calibri"/>
                <w:sz w:val="22"/>
                <w:szCs w:val="22"/>
              </w:rPr>
              <w:t>Specify security operations to apply and criteria for determining them.</w:t>
            </w:r>
          </w:p>
        </w:tc>
        <w:tc>
          <w:tcPr>
            <w:tcW w:w="2160" w:type="dxa"/>
            <w:shd w:val="clear" w:color="auto" w:fill="auto"/>
          </w:tcPr>
          <w:p w14:paraId="5F5AFD8F" w14:textId="77777777" w:rsidR="00442604" w:rsidRPr="001B79CE" w:rsidRDefault="00442604" w:rsidP="00B65527">
            <w:pPr>
              <w:rPr>
                <w:rFonts w:ascii="Calibri" w:eastAsia="Calibri" w:hAnsi="Calibri"/>
                <w:sz w:val="22"/>
                <w:szCs w:val="22"/>
              </w:rPr>
            </w:pPr>
          </w:p>
        </w:tc>
      </w:tr>
      <w:tr w:rsidR="00442604" w:rsidRPr="001B79CE" w14:paraId="4A9352D2" w14:textId="77777777" w:rsidTr="00B65527">
        <w:tc>
          <w:tcPr>
            <w:tcW w:w="634" w:type="dxa"/>
            <w:shd w:val="clear" w:color="auto" w:fill="auto"/>
          </w:tcPr>
          <w:p w14:paraId="5B9084FC" w14:textId="77777777" w:rsidR="00442604" w:rsidRDefault="00442604" w:rsidP="00B65527">
            <w:pPr>
              <w:rPr>
                <w:rFonts w:ascii="Calibri" w:eastAsia="Calibri" w:hAnsi="Calibri"/>
                <w:sz w:val="22"/>
                <w:szCs w:val="22"/>
              </w:rPr>
            </w:pPr>
            <w:r>
              <w:rPr>
                <w:rFonts w:ascii="Calibri" w:eastAsia="Calibri" w:hAnsi="Calibri"/>
                <w:sz w:val="22"/>
                <w:szCs w:val="22"/>
              </w:rPr>
              <w:t>19</w:t>
            </w:r>
          </w:p>
        </w:tc>
        <w:tc>
          <w:tcPr>
            <w:tcW w:w="1239" w:type="dxa"/>
            <w:shd w:val="clear" w:color="auto" w:fill="auto"/>
          </w:tcPr>
          <w:p w14:paraId="524A9BBA" w14:textId="77777777" w:rsidR="00442604" w:rsidRDefault="00442604" w:rsidP="00B65527">
            <w:pPr>
              <w:rPr>
                <w:rFonts w:ascii="Calibri" w:eastAsia="Calibri" w:hAnsi="Calibri"/>
                <w:sz w:val="22"/>
                <w:szCs w:val="22"/>
              </w:rPr>
            </w:pPr>
            <w:r>
              <w:rPr>
                <w:rFonts w:ascii="Calibri" w:eastAsia="Calibri" w:hAnsi="Calibri"/>
                <w:sz w:val="22"/>
                <w:szCs w:val="22"/>
              </w:rPr>
              <w:t>Conflict resolution</w:t>
            </w:r>
          </w:p>
        </w:tc>
        <w:tc>
          <w:tcPr>
            <w:tcW w:w="1128" w:type="dxa"/>
            <w:shd w:val="clear" w:color="auto" w:fill="auto"/>
          </w:tcPr>
          <w:p w14:paraId="134502CB" w14:textId="77777777" w:rsidR="00442604" w:rsidRDefault="00442604" w:rsidP="00B65527">
            <w:pP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REF _Ref507597099 \r \h  \* MERGEFORMAT </w:instrText>
            </w:r>
            <w:r>
              <w:rPr>
                <w:rFonts w:ascii="Calibri" w:eastAsia="Calibri" w:hAnsi="Calibri"/>
                <w:sz w:val="22"/>
                <w:szCs w:val="22"/>
              </w:rPr>
            </w:r>
            <w:r>
              <w:rPr>
                <w:rFonts w:ascii="Calibri" w:eastAsia="Calibri" w:hAnsi="Calibri"/>
                <w:sz w:val="22"/>
                <w:szCs w:val="22"/>
              </w:rPr>
              <w:fldChar w:fldCharType="separate"/>
            </w:r>
            <w:r w:rsidR="000969EC">
              <w:rPr>
                <w:rFonts w:ascii="Calibri" w:eastAsia="Calibri" w:hAnsi="Calibri"/>
                <w:sz w:val="22"/>
                <w:szCs w:val="22"/>
              </w:rPr>
              <w:t>5.2.3</w:t>
            </w:r>
            <w:r>
              <w:rPr>
                <w:rFonts w:ascii="Calibri" w:eastAsia="Calibri" w:hAnsi="Calibri"/>
                <w:sz w:val="22"/>
                <w:szCs w:val="22"/>
              </w:rPr>
              <w:fldChar w:fldCharType="end"/>
            </w:r>
          </w:p>
        </w:tc>
        <w:tc>
          <w:tcPr>
            <w:tcW w:w="768" w:type="dxa"/>
          </w:tcPr>
          <w:p w14:paraId="5988DF84" w14:textId="77777777" w:rsidR="00442604" w:rsidRDefault="00442604" w:rsidP="00B65527">
            <w:pPr>
              <w:rPr>
                <w:rFonts w:ascii="Calibri" w:eastAsia="Calibri" w:hAnsi="Calibri"/>
                <w:sz w:val="22"/>
                <w:szCs w:val="22"/>
              </w:rPr>
            </w:pPr>
            <w:r>
              <w:rPr>
                <w:rFonts w:ascii="Calibri" w:eastAsia="Calibri" w:hAnsi="Calibri"/>
                <w:sz w:val="22"/>
                <w:szCs w:val="22"/>
              </w:rPr>
              <w:t>M</w:t>
            </w:r>
          </w:p>
        </w:tc>
        <w:tc>
          <w:tcPr>
            <w:tcW w:w="3312" w:type="dxa"/>
            <w:shd w:val="clear" w:color="auto" w:fill="auto"/>
          </w:tcPr>
          <w:p w14:paraId="72F3A683" w14:textId="2A338128" w:rsidR="00442604" w:rsidRPr="001B79CE" w:rsidRDefault="00442604" w:rsidP="0012565C">
            <w:pPr>
              <w:rPr>
                <w:rFonts w:ascii="Calibri" w:eastAsia="Calibri" w:hAnsi="Calibri"/>
                <w:sz w:val="22"/>
                <w:szCs w:val="22"/>
              </w:rPr>
            </w:pPr>
            <w:r>
              <w:rPr>
                <w:rFonts w:ascii="Calibri" w:eastAsia="Calibri" w:hAnsi="Calibri"/>
                <w:sz w:val="22"/>
                <w:szCs w:val="22"/>
              </w:rPr>
              <w:t>Discard the bundle; discard the target</w:t>
            </w:r>
            <w:r w:rsidR="00B91683">
              <w:rPr>
                <w:rFonts w:ascii="Calibri" w:eastAsia="Calibri" w:hAnsi="Calibri"/>
                <w:sz w:val="22"/>
                <w:szCs w:val="22"/>
              </w:rPr>
              <w:t xml:space="preserve"> block</w:t>
            </w:r>
            <w:r>
              <w:rPr>
                <w:rFonts w:ascii="Calibri" w:eastAsia="Calibri" w:hAnsi="Calibri"/>
                <w:sz w:val="22"/>
                <w:szCs w:val="22"/>
              </w:rPr>
              <w:t>; replace the security operation; other (specify)</w:t>
            </w:r>
          </w:p>
        </w:tc>
        <w:tc>
          <w:tcPr>
            <w:tcW w:w="2160" w:type="dxa"/>
            <w:shd w:val="clear" w:color="auto" w:fill="auto"/>
          </w:tcPr>
          <w:p w14:paraId="0847EE72" w14:textId="77777777" w:rsidR="00442604" w:rsidRPr="001B79CE" w:rsidRDefault="00442604" w:rsidP="00B65527">
            <w:pPr>
              <w:rPr>
                <w:rFonts w:ascii="Calibri" w:eastAsia="Calibri" w:hAnsi="Calibri"/>
                <w:sz w:val="22"/>
                <w:szCs w:val="22"/>
              </w:rPr>
            </w:pPr>
          </w:p>
        </w:tc>
      </w:tr>
    </w:tbl>
    <w:p w14:paraId="10DD201A" w14:textId="77777777" w:rsidR="00442604" w:rsidRDefault="00442604" w:rsidP="00332FF3"/>
    <w:p w14:paraId="0E2548CF" w14:textId="77777777" w:rsidR="00332FF3" w:rsidRDefault="00332FF3" w:rsidP="00332FF3">
      <w:pPr>
        <w:sectPr w:rsidR="00332FF3" w:rsidSect="00A32DEB">
          <w:type w:val="continuous"/>
          <w:pgSz w:w="12240" w:h="15840"/>
          <w:pgMar w:top="1440" w:right="1440" w:bottom="1440" w:left="1440" w:header="547" w:footer="547" w:gutter="360"/>
          <w:pgNumType w:start="1" w:chapStyle="8"/>
          <w:cols w:space="720"/>
          <w:docGrid w:linePitch="360"/>
        </w:sectPr>
      </w:pPr>
    </w:p>
    <w:p w14:paraId="4766EBFD" w14:textId="02ABEDD7" w:rsidR="00332FF3" w:rsidRPr="001B79CE" w:rsidRDefault="00DB6F63" w:rsidP="005278C3">
      <w:pPr>
        <w:pStyle w:val="Heading8"/>
      </w:pPr>
      <w:bookmarkStart w:id="170" w:name="_Toc39246858"/>
      <w:commentRangeStart w:id="171"/>
      <w:commentRangeEnd w:id="171"/>
      <w:r w:rsidRPr="00394053">
        <w:lastRenderedPageBreak/>
        <w:commentReference w:id="171"/>
      </w:r>
      <w:r w:rsidR="00332FF3" w:rsidRPr="001B79CE">
        <w:br/>
      </w:r>
      <w:r w:rsidR="00332FF3" w:rsidRPr="001B79CE">
        <w:br/>
      </w:r>
      <w:bookmarkStart w:id="172" w:name="_Ref160080608"/>
      <w:bookmarkStart w:id="173" w:name="_Toc291253267"/>
      <w:bookmarkStart w:id="174" w:name="_Toc324845874"/>
      <w:bookmarkStart w:id="175" w:name="_Toc403538568"/>
      <w:r w:rsidR="00332FF3" w:rsidRPr="001B79CE">
        <w:t>Security, SANA, and Patent Considerations</w:t>
      </w:r>
      <w:r w:rsidR="00332FF3" w:rsidRPr="001B79CE">
        <w:br/>
      </w:r>
      <w:r w:rsidR="006E5B12">
        <w:t xml:space="preserve"> </w:t>
      </w:r>
      <w:r w:rsidR="00332FF3" w:rsidRPr="001B79CE">
        <w:br/>
        <w:t>(Informative)</w:t>
      </w:r>
      <w:bookmarkEnd w:id="170"/>
      <w:bookmarkEnd w:id="172"/>
      <w:bookmarkEnd w:id="173"/>
      <w:bookmarkEnd w:id="174"/>
      <w:bookmarkEnd w:id="175"/>
    </w:p>
    <w:p w14:paraId="5AC0A51B" w14:textId="587CA2C7" w:rsidR="00651486" w:rsidRDefault="00BA7CFF" w:rsidP="00465D15">
      <w:r>
        <w:t xml:space="preserve"> </w:t>
      </w:r>
    </w:p>
    <w:p w14:paraId="06B55938" w14:textId="1732CEE8" w:rsidR="00EA73C9" w:rsidRDefault="00EA73C9" w:rsidP="00394053">
      <w:pPr>
        <w:pStyle w:val="Annex2"/>
      </w:pPr>
      <w:r>
        <w:t>Security Considerations</w:t>
      </w:r>
    </w:p>
    <w:p w14:paraId="121FD670" w14:textId="4A600F20" w:rsidR="00EA73C9" w:rsidRDefault="00EA73C9" w:rsidP="00EA73C9">
      <w:pPr>
        <w:pStyle w:val="Annex3"/>
        <w:spacing w:before="480"/>
      </w:pPr>
      <w:r>
        <w:t>Scope</w:t>
      </w:r>
    </w:p>
    <w:p w14:paraId="4AA4A0B8" w14:textId="77777777" w:rsidR="00EA73C9" w:rsidRDefault="00EA73C9" w:rsidP="00394053"/>
    <w:p w14:paraId="708F7050" w14:textId="4D5B825A" w:rsidR="00EA73C9" w:rsidRDefault="00EA73C9" w:rsidP="00394053">
      <w:r>
        <w:t>The SBSP addresses the security of blocks within a bundle and does not address the security of the underlying network. It may be necessary to apply security services at multiple layers within the protocol stack, to account for distributed processing and cross-support, to account for different classes of data or end users, or to account for protection of data during unprotected portions of the complete end-to-end transmission (e.g., across ground networks). The specification of security services at other layers is outside the scope of this document.</w:t>
      </w:r>
    </w:p>
    <w:p w14:paraId="49D4A0AD" w14:textId="77777777" w:rsidR="00EA73C9" w:rsidRDefault="00EA73C9" w:rsidP="00394053"/>
    <w:p w14:paraId="0D56CCB3" w14:textId="01BB391D" w:rsidR="00EA73C9" w:rsidRDefault="00EA73C9" w:rsidP="00394053">
      <w:r>
        <w:t>The SBSP does not addresses the fitness of externally defined cryptographic methods nor the security of their implementation. It is the responsibility of the SBSP implementer that appropriate algorithms and methods be chosen. It is the responsibility of the SBSP implementer to ensure that any cryptographic material, including shared secret or private keys, is protected against access within both memory and storage devices.</w:t>
      </w:r>
    </w:p>
    <w:p w14:paraId="6A89E076" w14:textId="0026C304" w:rsidR="00332FF3" w:rsidRDefault="00332FF3" w:rsidP="00A32DEB">
      <w:pPr>
        <w:pStyle w:val="Annex3"/>
        <w:spacing w:before="480"/>
      </w:pPr>
      <w:r w:rsidRPr="001B79CE">
        <w:t>security concerns</w:t>
      </w:r>
    </w:p>
    <w:p w14:paraId="4674FDFC" w14:textId="77777777" w:rsidR="00970D3B" w:rsidRPr="00394053" w:rsidRDefault="00970D3B" w:rsidP="00394053">
      <w:pPr>
        <w:pStyle w:val="Annex4"/>
      </w:pPr>
      <w:r w:rsidRPr="00394053">
        <w:t>General</w:t>
      </w:r>
    </w:p>
    <w:p w14:paraId="61CC876A" w14:textId="77777777" w:rsidR="00043464" w:rsidRDefault="00043464" w:rsidP="00465D15"/>
    <w:p w14:paraId="427E3BCA" w14:textId="0E06A81A" w:rsidR="00043464" w:rsidRDefault="00043464" w:rsidP="00394053">
      <w:pPr>
        <w:jc w:val="both"/>
      </w:pPr>
      <w:r>
        <w:t xml:space="preserve">Security concerns </w:t>
      </w:r>
      <w:r w:rsidR="005B3D6C">
        <w:t>informing the</w:t>
      </w:r>
      <w:r>
        <w:t xml:space="preserve"> design </w:t>
      </w:r>
      <w:r w:rsidR="005B3D6C">
        <w:t xml:space="preserve">of the SBSP </w:t>
      </w:r>
      <w:r>
        <w:t>are addressed in more detail in reference [</w:t>
      </w:r>
      <w:r>
        <w:fldChar w:fldCharType="begin"/>
      </w:r>
      <w:r>
        <w:instrText xml:space="preserve"> REF R_ISO7498x2InformationProcessingSystemsB \h </w:instrText>
      </w:r>
      <w:r>
        <w:fldChar w:fldCharType="separate"/>
      </w:r>
      <w:r>
        <w:rPr>
          <w:noProof/>
        </w:rPr>
        <w:t>C5</w:t>
      </w:r>
      <w:r>
        <w:fldChar w:fldCharType="end"/>
      </w:r>
      <w:r>
        <w:t>].  References [</w:t>
      </w:r>
      <w:r>
        <w:rPr>
          <w:noProof/>
        </w:rPr>
        <w:fldChar w:fldCharType="begin"/>
      </w:r>
      <w:r>
        <w:instrText xml:space="preserve"> REF R_351x0m1SecurityArchitectureForSpaceDat \h </w:instrText>
      </w:r>
      <w:r>
        <w:rPr>
          <w:noProof/>
        </w:rPr>
      </w:r>
      <w:r>
        <w:rPr>
          <w:noProof/>
        </w:rPr>
        <w:fldChar w:fldCharType="separate"/>
      </w:r>
      <w:r>
        <w:rPr>
          <w:noProof/>
        </w:rPr>
        <w:t>C1</w:t>
      </w:r>
      <w:r>
        <w:rPr>
          <w:noProof/>
        </w:rPr>
        <w:fldChar w:fldCharType="end"/>
      </w:r>
      <w:r>
        <w:t>] and [</w:t>
      </w:r>
      <w:r>
        <w:fldChar w:fldCharType="begin"/>
      </w:r>
      <w:r>
        <w:instrText xml:space="preserve"> REF R_350x0g2TheApplicationOfCCSDSProtocolsT \h </w:instrText>
      </w:r>
      <w:r>
        <w:fldChar w:fldCharType="separate"/>
      </w:r>
      <w:r>
        <w:rPr>
          <w:noProof/>
        </w:rPr>
        <w:t>C6</w:t>
      </w:r>
      <w:r>
        <w:fldChar w:fldCharType="end"/>
      </w:r>
      <w:r>
        <w:t>] contain information regarding the choice of services and where they can be implemented. Reference [</w:t>
      </w:r>
      <w:r>
        <w:fldChar w:fldCharType="begin"/>
      </w:r>
      <w:r>
        <w:instrText xml:space="preserve"> REF R_352x0b2CCSDSCryptographicAlgorithms \h </w:instrText>
      </w:r>
      <w:r>
        <w:fldChar w:fldCharType="separate"/>
      </w:r>
      <w:r>
        <w:rPr>
          <w:noProof/>
        </w:rPr>
        <w:t>2</w:t>
      </w:r>
      <w:r>
        <w:fldChar w:fldCharType="end"/>
      </w:r>
      <w:r>
        <w:t>] contains information regarding the choice of particular cryptographic algorithms.</w:t>
      </w:r>
    </w:p>
    <w:p w14:paraId="25D3FBF8" w14:textId="77777777" w:rsidR="00870C4F" w:rsidRPr="00394053" w:rsidRDefault="00870C4F" w:rsidP="00394053"/>
    <w:p w14:paraId="062DC2DD" w14:textId="2D0EE3A4" w:rsidR="00870C4F" w:rsidRPr="001B79CE" w:rsidRDefault="00870C4F" w:rsidP="00394053">
      <w:pPr>
        <w:jc w:val="both"/>
      </w:pPr>
      <w:r w:rsidRPr="001B79CE">
        <w:t>This</w:t>
      </w:r>
      <w:r w:rsidR="00514EFC">
        <w:t xml:space="preserve"> section</w:t>
      </w:r>
      <w:r>
        <w:t xml:space="preserve"> d</w:t>
      </w:r>
      <w:r w:rsidRPr="001B79CE">
        <w:t>iscuss</w:t>
      </w:r>
      <w:r>
        <w:t xml:space="preserve">es </w:t>
      </w:r>
      <w:r w:rsidRPr="001B79CE">
        <w:t xml:space="preserve">security threats that SBSP will face and describes how SBSP </w:t>
      </w:r>
      <w:r>
        <w:t xml:space="preserve">can </w:t>
      </w:r>
      <w:r w:rsidRPr="001B79CE">
        <w:t>mitigate these threats.</w:t>
      </w:r>
      <w:r>
        <w:t xml:space="preserve"> The threa</w:t>
      </w:r>
      <w:r w:rsidRPr="001B79CE">
        <w:t>t model described here is assumed to have a set of capabilities identical to those described by the Internet Threat Model (reference</w:t>
      </w:r>
      <w:r>
        <w:t xml:space="preserve"> [</w:t>
      </w:r>
      <w:r>
        <w:fldChar w:fldCharType="begin"/>
      </w:r>
      <w:r>
        <w:instrText xml:space="preserve"> REF R_RFC3552GuidelinesForWritingRFCTextOnSe \h </w:instrText>
      </w:r>
      <w:r>
        <w:fldChar w:fldCharType="separate"/>
      </w:r>
      <w:r>
        <w:rPr>
          <w:noProof/>
        </w:rPr>
        <w:t>C3</w:t>
      </w:r>
      <w:r>
        <w:fldChar w:fldCharType="end"/>
      </w:r>
      <w:r>
        <w:t>])</w:t>
      </w:r>
      <w:r w:rsidRPr="001B79CE">
        <w:t>, but the SBSP threat model is scoped to illustrate threats specific to SBSP operating within DTN environments and therefore focuses on Man-In-The-Middle (MITM) attackers.</w:t>
      </w:r>
      <w:r>
        <w:t xml:space="preserve">  Reference [</w:t>
      </w:r>
      <w:r>
        <w:fldChar w:fldCharType="begin"/>
      </w:r>
      <w:r>
        <w:instrText xml:space="preserve"> REF R_350x1g2SecurityThreatsAgainstSpaceMiss \h </w:instrText>
      </w:r>
      <w:r>
        <w:fldChar w:fldCharType="separate"/>
      </w:r>
      <w:r>
        <w:rPr>
          <w:noProof/>
        </w:rPr>
        <w:t>C4</w:t>
      </w:r>
      <w:r>
        <w:fldChar w:fldCharType="end"/>
      </w:r>
      <w:r>
        <w:t>] describes security threats against space missions.</w:t>
      </w:r>
    </w:p>
    <w:p w14:paraId="1FD00F4D" w14:textId="77777777" w:rsidR="00870C4F" w:rsidRPr="00970D3B" w:rsidRDefault="00870C4F" w:rsidP="00465D15"/>
    <w:p w14:paraId="72F60A42" w14:textId="77777777" w:rsidR="00332FF3" w:rsidRPr="001B79CE" w:rsidRDefault="00332FF3" w:rsidP="00A32DEB">
      <w:pPr>
        <w:pStyle w:val="Annex4"/>
      </w:pPr>
      <w:r w:rsidRPr="001B79CE">
        <w:t>Data Privacy</w:t>
      </w:r>
    </w:p>
    <w:p w14:paraId="0D92ABE1" w14:textId="77777777" w:rsidR="00F711CA" w:rsidRDefault="00F711CA" w:rsidP="00332FF3"/>
    <w:p w14:paraId="5041210E" w14:textId="78549517" w:rsidR="00F711CA" w:rsidRDefault="00F711CA" w:rsidP="00394053">
      <w:pPr>
        <w:jc w:val="both"/>
      </w:pPr>
      <w:r>
        <w:t xml:space="preserve">Malicious nodes may examine the contents of a bundle and attempt to recover protected data or cryptographic keying material from the blocks contained within. The SBSP BCB protects </w:t>
      </w:r>
      <w:r>
        <w:lastRenderedPageBreak/>
        <w:t xml:space="preserve">against this action by enciphering the contents of its target block thereby providing data privacy via a confidentiality service. </w:t>
      </w:r>
    </w:p>
    <w:p w14:paraId="5FE88911" w14:textId="3190E8CB" w:rsidR="009C1759" w:rsidRDefault="009C1759" w:rsidP="00394053"/>
    <w:p w14:paraId="1F3F8785" w14:textId="787BC076" w:rsidR="009C1759" w:rsidRDefault="009A2E3B" w:rsidP="00394053">
      <w:pPr>
        <w:tabs>
          <w:tab w:val="left" w:pos="810"/>
        </w:tabs>
        <w:ind w:left="1080" w:hanging="1080"/>
        <w:jc w:val="both"/>
      </w:pPr>
      <w:r>
        <w:t xml:space="preserve">NOTE </w:t>
      </w:r>
      <w:r>
        <w:tab/>
        <w:t xml:space="preserve">– </w:t>
      </w:r>
      <w:r w:rsidR="009C1759">
        <w:t xml:space="preserve"> </w:t>
      </w:r>
      <w:r>
        <w:t xml:space="preserve"> </w:t>
      </w:r>
      <w:r w:rsidR="009C1759">
        <w:t>Malicious nodes may continue to examine bundles offline in an attempt to recover encrypted data. The security contexts used by the BCB should be selected to provide suitable protection over the useful lifetime of the information being protected.</w:t>
      </w:r>
    </w:p>
    <w:p w14:paraId="780AD775" w14:textId="6C5E14DB" w:rsidR="00F711CA" w:rsidRDefault="00F711CA" w:rsidP="00394053"/>
    <w:p w14:paraId="7052F3AA" w14:textId="76B3DEB6" w:rsidR="008927A9" w:rsidRDefault="008927A9" w:rsidP="00394053">
      <w:pPr>
        <w:tabs>
          <w:tab w:val="left" w:pos="810"/>
        </w:tabs>
        <w:ind w:left="1080" w:hanging="1080"/>
        <w:jc w:val="both"/>
      </w:pPr>
      <w:r>
        <w:t xml:space="preserve">NOTE </w:t>
      </w:r>
      <w:r w:rsidR="00946925">
        <w:tab/>
      </w:r>
      <w:r>
        <w:t xml:space="preserve">–   </w:t>
      </w:r>
      <w:r w:rsidR="004F1964">
        <w:t>To provide verifiable integrity checks, the security contexts used by the BCB should utilize encryption schemes that are “indistinguishable under adaptive chosen cipher text attack” (IND-CCA2) secure. Such schemes guard against signature substitution.</w:t>
      </w:r>
    </w:p>
    <w:p w14:paraId="6E8BF2A5" w14:textId="77777777" w:rsidR="008927A9" w:rsidRDefault="008927A9" w:rsidP="00394053"/>
    <w:p w14:paraId="1007658B" w14:textId="65E8987E" w:rsidR="009C1759" w:rsidRDefault="009C1759" w:rsidP="00394053">
      <w:pPr>
        <w:tabs>
          <w:tab w:val="left" w:pos="810"/>
        </w:tabs>
        <w:ind w:left="1080" w:hanging="1080"/>
        <w:jc w:val="both"/>
      </w:pPr>
      <w:r>
        <w:t xml:space="preserve">NOTE </w:t>
      </w:r>
      <w:r w:rsidR="00AE65C4">
        <w:tab/>
      </w:r>
      <w:r>
        <w:t xml:space="preserve">– </w:t>
      </w:r>
      <w:r w:rsidR="00AE65C4">
        <w:t xml:space="preserve">  </w:t>
      </w:r>
      <w:r>
        <w:t>Irrespective of whether the SBSP is used, traffic analysis will be possible.</w:t>
      </w:r>
    </w:p>
    <w:p w14:paraId="3761DDBC" w14:textId="77777777" w:rsidR="00332FF3" w:rsidRPr="001B79CE" w:rsidRDefault="00332FF3" w:rsidP="00A32DEB">
      <w:pPr>
        <w:pStyle w:val="Annex4"/>
        <w:spacing w:before="480"/>
      </w:pPr>
      <w:r w:rsidRPr="001B79CE">
        <w:t>Data Integrity</w:t>
      </w:r>
    </w:p>
    <w:p w14:paraId="7621DCC8" w14:textId="79FFACC4" w:rsidR="00BF7CC8" w:rsidRDefault="00BF7CC8" w:rsidP="00332FF3"/>
    <w:p w14:paraId="4CA86A95" w14:textId="64B89DF5" w:rsidR="00BF7CC8" w:rsidRDefault="00BF7CC8" w:rsidP="00332FF3">
      <w:r>
        <w:t>Malicious nodes may modify blocks within a bundle, to include replacing existing blocks, adding new blocks, and removing blocks. The SBSP can detect these activities using both the BIB and BCB blocks, depending on whether plain text or cipher text integrity is required.</w:t>
      </w:r>
    </w:p>
    <w:p w14:paraId="1990A037" w14:textId="03549790" w:rsidR="00BF7CC8" w:rsidRDefault="00BF7CC8" w:rsidP="00332FF3"/>
    <w:p w14:paraId="5F4710F4" w14:textId="33BD43B0" w:rsidR="00BF7CC8" w:rsidRDefault="00DE58E0" w:rsidP="00DE58E0">
      <w:pPr>
        <w:tabs>
          <w:tab w:val="left" w:pos="810"/>
        </w:tabs>
        <w:ind w:left="1080" w:hanging="1080"/>
      </w:pPr>
      <w:r>
        <w:t xml:space="preserve">NOTE </w:t>
      </w:r>
      <w:r>
        <w:tab/>
        <w:t xml:space="preserve">–   The </w:t>
      </w:r>
      <w:r w:rsidR="002C596B">
        <w:t>integrity</w:t>
      </w:r>
      <w:r>
        <w:t xml:space="preserve"> mechanisms used </w:t>
      </w:r>
      <w:r w:rsidR="002C596B">
        <w:t xml:space="preserve">by the </w:t>
      </w:r>
      <w:r>
        <w:t>BIB</w:t>
      </w:r>
      <w:r w:rsidR="002C596B">
        <w:t xml:space="preserve"> and BCB</w:t>
      </w:r>
      <w:r>
        <w:t xml:space="preserve"> should be strong against collision attacks and malicious nodes should be prevented from accessing the cryptographic material used by the security source. If these conditions can be met, malicious nodes will be unable to modify the target block without being detected.</w:t>
      </w:r>
    </w:p>
    <w:p w14:paraId="6DF2D35A" w14:textId="012F9EBF" w:rsidR="00BF7CC8" w:rsidRDefault="00BF7CC8" w:rsidP="00332FF3"/>
    <w:p w14:paraId="1AE9B2A5" w14:textId="410965A6" w:rsidR="00341B38" w:rsidRDefault="00341B38" w:rsidP="00394053">
      <w:pPr>
        <w:jc w:val="both"/>
      </w:pPr>
      <w:r>
        <w:t xml:space="preserve">The SBSP does not support an in-bundle mechanism to detect (or correct) cases where a malicious nodes removes a block from a bundle. If a target block is removed, then any security block associated with that target block will fail to validate. If a security block is removed from the bundle, some other policy must be in place at the security verifier or security acceptor to note that a security block was expected to exist in the bundle. </w:t>
      </w:r>
    </w:p>
    <w:p w14:paraId="208D6155" w14:textId="5EB94F80" w:rsidR="00341B38" w:rsidRDefault="00341B38" w:rsidP="00394053">
      <w:pPr>
        <w:jc w:val="both"/>
      </w:pPr>
    </w:p>
    <w:p w14:paraId="062BC562" w14:textId="339F77EE" w:rsidR="00341B38" w:rsidRDefault="00341B38" w:rsidP="00394053">
      <w:pPr>
        <w:tabs>
          <w:tab w:val="left" w:pos="810"/>
        </w:tabs>
        <w:ind w:left="1080" w:hanging="1080"/>
        <w:jc w:val="both"/>
      </w:pPr>
      <w:r>
        <w:t xml:space="preserve">NOTE </w:t>
      </w:r>
      <w:r>
        <w:tab/>
        <w:t xml:space="preserve">– The implementation of SBSP must be combined with a policy configuration at security-aware BPAs which describes the expected and required security operations that must be applied to, or expected to be present for, blocks in bundles processed by the BPA.  </w:t>
      </w:r>
    </w:p>
    <w:p w14:paraId="2C787EEF" w14:textId="77777777" w:rsidR="00332FF3" w:rsidRPr="001B79CE" w:rsidRDefault="00332FF3" w:rsidP="00A32DEB">
      <w:pPr>
        <w:pStyle w:val="Annex4"/>
        <w:spacing w:before="480"/>
      </w:pPr>
      <w:r w:rsidRPr="001B79CE">
        <w:t>Authentication of Communicating Entities</w:t>
      </w:r>
    </w:p>
    <w:p w14:paraId="199514D3" w14:textId="77777777" w:rsidR="00CB0F03" w:rsidRDefault="00CB0F03" w:rsidP="00332FF3"/>
    <w:p w14:paraId="390554EB" w14:textId="142A0ABC" w:rsidR="008045C8" w:rsidRDefault="008045C8" w:rsidP="00394053">
      <w:pPr>
        <w:jc w:val="both"/>
      </w:pPr>
      <w:r>
        <w:t>The SBSP does not provide a service for authentication of communicating entities. This authentication can be accomplished by combining SBSP services with other components, such as encapsulation.</w:t>
      </w:r>
    </w:p>
    <w:p w14:paraId="15F06419" w14:textId="77777777" w:rsidR="00332FF3" w:rsidRPr="001B79CE" w:rsidRDefault="00332FF3" w:rsidP="00A32DEB">
      <w:pPr>
        <w:pStyle w:val="Annex4"/>
        <w:spacing w:before="480"/>
      </w:pPr>
      <w:r w:rsidRPr="001B79CE">
        <w:lastRenderedPageBreak/>
        <w:t>Control of Access to Resources</w:t>
      </w:r>
    </w:p>
    <w:p w14:paraId="35984C3C" w14:textId="77777777" w:rsidR="00007835" w:rsidRDefault="00007835" w:rsidP="00332FF3"/>
    <w:p w14:paraId="423CCDAD" w14:textId="4DF5B959" w:rsidR="00332FF3" w:rsidRPr="001B79CE" w:rsidRDefault="00332FF3" w:rsidP="00394053">
      <w:pPr>
        <w:jc w:val="both"/>
      </w:pPr>
      <w:r w:rsidRPr="001B79CE">
        <w:t>Resource access controls are not directly addressed by this specification.</w:t>
      </w:r>
    </w:p>
    <w:p w14:paraId="31AB4156" w14:textId="77777777" w:rsidR="00332FF3" w:rsidRPr="001B79CE" w:rsidRDefault="00332FF3" w:rsidP="00A32DEB">
      <w:pPr>
        <w:pStyle w:val="Annex4"/>
        <w:spacing w:before="480"/>
      </w:pPr>
      <w:r w:rsidRPr="001B79CE">
        <w:t>Availability of Resources</w:t>
      </w:r>
    </w:p>
    <w:p w14:paraId="091B96C4" w14:textId="77777777" w:rsidR="00160D3E" w:rsidRDefault="00160D3E" w:rsidP="00332FF3"/>
    <w:p w14:paraId="11F651C4" w14:textId="24D7E291" w:rsidR="00332FF3" w:rsidRPr="001B79CE" w:rsidRDefault="00332FF3" w:rsidP="00394053">
      <w:pPr>
        <w:jc w:val="both"/>
      </w:pPr>
      <w:r w:rsidRPr="001B79CE">
        <w:t>No mechanisms are defined in this specification to verify or assist with the verification of availability of resources.</w:t>
      </w:r>
    </w:p>
    <w:p w14:paraId="31AB97A8" w14:textId="77777777" w:rsidR="00332FF3" w:rsidRPr="001B79CE" w:rsidRDefault="00332FF3" w:rsidP="00A32DEB">
      <w:pPr>
        <w:pStyle w:val="Annex4"/>
        <w:spacing w:before="480"/>
      </w:pPr>
      <w:r w:rsidRPr="001B79CE">
        <w:t>Auditing of Resource Usage</w:t>
      </w:r>
    </w:p>
    <w:p w14:paraId="43F1FABD" w14:textId="77777777" w:rsidR="00EA0E7C" w:rsidRDefault="00EA0E7C" w:rsidP="00332FF3"/>
    <w:p w14:paraId="1EE5DE80" w14:textId="76DE29AE" w:rsidR="00332FF3" w:rsidRDefault="00332FF3" w:rsidP="00394053">
      <w:pPr>
        <w:jc w:val="both"/>
      </w:pPr>
      <w:r w:rsidRPr="001B79CE">
        <w:t>No mechanisms are defined in this specification to audit or assist with the auditing of resource usage by the protocol.</w:t>
      </w:r>
    </w:p>
    <w:p w14:paraId="7333B17D" w14:textId="553CC2A6" w:rsidR="00332FF3" w:rsidRPr="001B79CE" w:rsidRDefault="00332FF3" w:rsidP="00A32DEB">
      <w:pPr>
        <w:pStyle w:val="Annex3"/>
        <w:spacing w:before="480"/>
      </w:pPr>
      <w:r w:rsidRPr="001B79CE">
        <w:t xml:space="preserve">Consequences of not </w:t>
      </w:r>
      <w:r w:rsidR="009A2F24">
        <w:t>Using the SBSp</w:t>
      </w:r>
    </w:p>
    <w:p w14:paraId="0DA2C247" w14:textId="77777777" w:rsidR="00F43CFE" w:rsidRDefault="00F43CFE" w:rsidP="00332FF3"/>
    <w:p w14:paraId="1168B073" w14:textId="57D07E37" w:rsidR="00032238" w:rsidRDefault="00876761" w:rsidP="00394053">
      <w:pPr>
        <w:jc w:val="both"/>
      </w:pPr>
      <w:r>
        <w:t>If the</w:t>
      </w:r>
      <w:r w:rsidR="00332FF3" w:rsidRPr="001B79CE">
        <w:t xml:space="preserve"> </w:t>
      </w:r>
      <w:r w:rsidR="00F43CFE">
        <w:t>SBSP</w:t>
      </w:r>
      <w:r>
        <w:t xml:space="preserve"> is not used</w:t>
      </w:r>
      <w:r w:rsidR="00332FF3" w:rsidRPr="001B79CE">
        <w:t xml:space="preserve">, </w:t>
      </w:r>
      <w:r>
        <w:t xml:space="preserve">bundle delivery </w:t>
      </w:r>
      <w:r w:rsidR="00332FF3" w:rsidRPr="001B79CE">
        <w:t xml:space="preserve">must rely on security measures provided </w:t>
      </w:r>
      <w:r w:rsidR="008B00D6">
        <w:t>by</w:t>
      </w:r>
      <w:r w:rsidR="008B00D6" w:rsidRPr="001B79CE">
        <w:t xml:space="preserve"> </w:t>
      </w:r>
      <w:r w:rsidR="00332FF3" w:rsidRPr="001B79CE">
        <w:t>the convergence layer adapter</w:t>
      </w:r>
      <w:r w:rsidR="008B00D6">
        <w:t>(s)</w:t>
      </w:r>
      <w:r w:rsidR="00332FF3" w:rsidRPr="001B79CE">
        <w:t xml:space="preserve"> </w:t>
      </w:r>
      <w:r w:rsidR="008B00D6">
        <w:t>and/or lower layers</w:t>
      </w:r>
      <w:r w:rsidR="00332FF3" w:rsidRPr="001B79CE">
        <w:t xml:space="preserve">. For space applications these </w:t>
      </w:r>
      <w:r w:rsidR="007574B0">
        <w:t xml:space="preserve">alternative security measures </w:t>
      </w:r>
      <w:r w:rsidR="00332FF3" w:rsidRPr="001B79CE">
        <w:t xml:space="preserve">may be non-existent or </w:t>
      </w:r>
      <w:r w:rsidR="007574B0">
        <w:t xml:space="preserve">shared across a large group of applications and application domains. </w:t>
      </w:r>
    </w:p>
    <w:p w14:paraId="60BA5679" w14:textId="4596DA6B" w:rsidR="00032238" w:rsidRDefault="00032238" w:rsidP="00394053"/>
    <w:p w14:paraId="47461576" w14:textId="593D208E" w:rsidR="009A2F24" w:rsidRDefault="009A2F24" w:rsidP="00394053">
      <w:pPr>
        <w:jc w:val="both"/>
      </w:pPr>
      <w:r>
        <w:t>The consequence of not using SBS</w:t>
      </w:r>
      <w:r w:rsidR="00FD4F95">
        <w:t>P is that bundle exchange has no consistent, end-to-end security.  Lower layer security may differ link-by-link and application layer security may differ application-by-application.</w:t>
      </w:r>
    </w:p>
    <w:p w14:paraId="1945EBE6" w14:textId="0F1C8FEA" w:rsidR="00A75812" w:rsidRPr="001B79CE" w:rsidRDefault="00A75812" w:rsidP="00A75812">
      <w:pPr>
        <w:pStyle w:val="Annex3"/>
        <w:spacing w:before="480"/>
      </w:pPr>
      <w:r>
        <w:t>Sana Considerations</w:t>
      </w:r>
    </w:p>
    <w:p w14:paraId="0FFE8414" w14:textId="386D3058" w:rsidR="00332FF3" w:rsidRDefault="00332FF3" w:rsidP="00394053">
      <w:pPr>
        <w:pStyle w:val="Annex4"/>
      </w:pPr>
      <w:r>
        <w:t>General</w:t>
      </w:r>
    </w:p>
    <w:p w14:paraId="4FE480C7" w14:textId="77777777" w:rsidR="00691D0C" w:rsidRPr="00394053" w:rsidRDefault="00691D0C" w:rsidP="00394053"/>
    <w:p w14:paraId="4A94C854" w14:textId="305B1234" w:rsidR="00B235BA" w:rsidRDefault="00332FF3" w:rsidP="00394053">
      <w:pPr>
        <w:keepNext/>
        <w:jc w:val="both"/>
      </w:pPr>
      <w:r w:rsidRPr="001B79CE">
        <w:t xml:space="preserve">This </w:t>
      </w:r>
      <w:r w:rsidR="00B235BA">
        <w:t xml:space="preserve">recommendations of this </w:t>
      </w:r>
      <w:r w:rsidRPr="001B79CE">
        <w:t xml:space="preserve">document request SANA to create </w:t>
      </w:r>
      <w:r w:rsidR="002C7A19">
        <w:t xml:space="preserve">or update </w:t>
      </w:r>
      <w:r w:rsidRPr="001B79CE">
        <w:t>the registries</w:t>
      </w:r>
      <w:r w:rsidR="002C7A19">
        <w:t xml:space="preserve"> in this section.</w:t>
      </w:r>
    </w:p>
    <w:p w14:paraId="386443BF" w14:textId="4A0C4A20" w:rsidR="00332FF3" w:rsidRDefault="00332FF3" w:rsidP="00394053">
      <w:pPr>
        <w:pStyle w:val="Annex4"/>
      </w:pPr>
      <w:r w:rsidRPr="001B79CE">
        <w:t>Bundle Block Types Registry</w:t>
      </w:r>
    </w:p>
    <w:p w14:paraId="54849879" w14:textId="6C083D1A" w:rsidR="002C7A19" w:rsidRDefault="002C7A19" w:rsidP="00394053"/>
    <w:p w14:paraId="78135DCF" w14:textId="216A2906" w:rsidR="0003373D" w:rsidRDefault="002C7A19" w:rsidP="00394053">
      <w:pPr>
        <w:jc w:val="both"/>
      </w:pPr>
      <w:r>
        <w:t>The SBSP defines two new extension blocks whose block types must be registered with SANA.</w:t>
      </w:r>
      <w:r w:rsidR="0003373D">
        <w:t xml:space="preserve"> The new block types are defined as follows.</w:t>
      </w:r>
    </w:p>
    <w:p w14:paraId="7D5C0C79" w14:textId="6FB7DAEC" w:rsidR="0003373D" w:rsidRDefault="0003373D" w:rsidP="00394053">
      <w:pPr>
        <w:jc w:val="both"/>
      </w:pPr>
    </w:p>
    <w:p w14:paraId="3E11F417" w14:textId="04C512CD" w:rsidR="00713AF0" w:rsidRPr="00394053" w:rsidRDefault="00BF6441" w:rsidP="00394053">
      <w:pPr>
        <w:pStyle w:val="Caption"/>
        <w:keepNext/>
        <w:jc w:val="center"/>
        <w:rPr>
          <w:i w:val="0"/>
          <w:color w:val="auto"/>
          <w:sz w:val="24"/>
          <w:szCs w:val="24"/>
        </w:rPr>
      </w:pPr>
      <w:bookmarkStart w:id="176" w:name="_Toc39246962"/>
      <w:bookmarkStart w:id="177" w:name="_Ref39247442"/>
      <w:r w:rsidRPr="00394053">
        <w:rPr>
          <w:i w:val="0"/>
          <w:color w:val="auto"/>
          <w:sz w:val="24"/>
          <w:szCs w:val="24"/>
        </w:rPr>
        <w:t xml:space="preserve">Table </w:t>
      </w:r>
      <w:r w:rsidR="00713AF0">
        <w:rPr>
          <w:i w:val="0"/>
          <w:color w:val="auto"/>
          <w:sz w:val="24"/>
          <w:szCs w:val="24"/>
        </w:rPr>
        <w:fldChar w:fldCharType="begin"/>
      </w:r>
      <w:r w:rsidR="00713AF0">
        <w:rPr>
          <w:i w:val="0"/>
          <w:color w:val="auto"/>
          <w:sz w:val="24"/>
          <w:szCs w:val="24"/>
        </w:rPr>
        <w:instrText xml:space="preserve"> STYLEREF 8 \s </w:instrText>
      </w:r>
      <w:r w:rsidR="00713AF0">
        <w:rPr>
          <w:i w:val="0"/>
          <w:color w:val="auto"/>
          <w:sz w:val="24"/>
          <w:szCs w:val="24"/>
        </w:rPr>
        <w:fldChar w:fldCharType="separate"/>
      </w:r>
      <w:r w:rsidR="00713AF0">
        <w:rPr>
          <w:i w:val="0"/>
          <w:noProof/>
          <w:color w:val="auto"/>
          <w:sz w:val="24"/>
          <w:szCs w:val="24"/>
        </w:rPr>
        <w:t>B</w:t>
      </w:r>
      <w:r w:rsidR="00713AF0">
        <w:rPr>
          <w:i w:val="0"/>
          <w:color w:val="auto"/>
          <w:sz w:val="24"/>
          <w:szCs w:val="24"/>
        </w:rPr>
        <w:fldChar w:fldCharType="end"/>
      </w:r>
      <w:r w:rsidR="00713AF0">
        <w:rPr>
          <w:i w:val="0"/>
          <w:color w:val="auto"/>
          <w:sz w:val="24"/>
          <w:szCs w:val="24"/>
        </w:rPr>
        <w:noBreakHyphen/>
      </w:r>
      <w:r w:rsidR="00713AF0">
        <w:rPr>
          <w:i w:val="0"/>
          <w:color w:val="auto"/>
          <w:sz w:val="24"/>
          <w:szCs w:val="24"/>
        </w:rPr>
        <w:fldChar w:fldCharType="begin"/>
      </w:r>
      <w:r w:rsidR="00713AF0">
        <w:rPr>
          <w:i w:val="0"/>
          <w:color w:val="auto"/>
          <w:sz w:val="24"/>
          <w:szCs w:val="24"/>
        </w:rPr>
        <w:instrText xml:space="preserve"> SEQ Table \* ARABIC \s 8 </w:instrText>
      </w:r>
      <w:r w:rsidR="00713AF0">
        <w:rPr>
          <w:i w:val="0"/>
          <w:color w:val="auto"/>
          <w:sz w:val="24"/>
          <w:szCs w:val="24"/>
        </w:rPr>
        <w:fldChar w:fldCharType="separate"/>
      </w:r>
      <w:r w:rsidR="00713AF0">
        <w:rPr>
          <w:i w:val="0"/>
          <w:noProof/>
          <w:color w:val="auto"/>
          <w:sz w:val="24"/>
          <w:szCs w:val="24"/>
        </w:rPr>
        <w:t>1</w:t>
      </w:r>
      <w:r w:rsidR="00713AF0">
        <w:rPr>
          <w:i w:val="0"/>
          <w:color w:val="auto"/>
          <w:sz w:val="24"/>
          <w:szCs w:val="24"/>
        </w:rPr>
        <w:fldChar w:fldCharType="end"/>
      </w:r>
      <w:bookmarkEnd w:id="177"/>
      <w:r w:rsidRPr="00394053">
        <w:rPr>
          <w:i w:val="0"/>
          <w:color w:val="auto"/>
          <w:sz w:val="24"/>
          <w:szCs w:val="24"/>
        </w:rPr>
        <w:t xml:space="preserve"> SBSP Security Block Types</w:t>
      </w:r>
      <w:bookmarkEnd w:id="176"/>
    </w:p>
    <w:tbl>
      <w:tblPr>
        <w:tblStyle w:val="GridTable4-Accent5"/>
        <w:tblW w:w="0" w:type="auto"/>
        <w:tblLook w:val="04A0" w:firstRow="1" w:lastRow="0" w:firstColumn="1" w:lastColumn="0" w:noHBand="0" w:noVBand="1"/>
      </w:tblPr>
      <w:tblGrid>
        <w:gridCol w:w="1456"/>
        <w:gridCol w:w="4533"/>
        <w:gridCol w:w="3001"/>
      </w:tblGrid>
      <w:tr w:rsidR="0003373D" w:rsidRPr="001B79CE" w14:paraId="30C386BE" w14:textId="77777777" w:rsidTr="00394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176A3633" w14:textId="77777777" w:rsidR="0003373D" w:rsidRPr="001B79CE" w:rsidRDefault="0003373D" w:rsidP="00394053">
            <w:pPr>
              <w:pStyle w:val="TableCell"/>
              <w:jc w:val="center"/>
            </w:pPr>
            <w:r w:rsidRPr="001B79CE">
              <w:t>Value</w:t>
            </w:r>
          </w:p>
        </w:tc>
        <w:tc>
          <w:tcPr>
            <w:tcW w:w="4533" w:type="dxa"/>
          </w:tcPr>
          <w:p w14:paraId="60ADFE2B" w14:textId="77777777" w:rsidR="0003373D" w:rsidRPr="001B79CE" w:rsidRDefault="0003373D" w:rsidP="00394053">
            <w:pPr>
              <w:pStyle w:val="TableCell"/>
              <w:jc w:val="center"/>
              <w:cnfStyle w:val="100000000000" w:firstRow="1" w:lastRow="0" w:firstColumn="0" w:lastColumn="0" w:oddVBand="0" w:evenVBand="0" w:oddHBand="0" w:evenHBand="0" w:firstRowFirstColumn="0" w:firstRowLastColumn="0" w:lastRowFirstColumn="0" w:lastRowLastColumn="0"/>
            </w:pPr>
            <w:r w:rsidRPr="001B79CE">
              <w:t>Description</w:t>
            </w:r>
          </w:p>
        </w:tc>
        <w:tc>
          <w:tcPr>
            <w:tcW w:w="3001" w:type="dxa"/>
          </w:tcPr>
          <w:p w14:paraId="0DFCA7F1" w14:textId="77777777" w:rsidR="0003373D" w:rsidRPr="001B79CE" w:rsidRDefault="0003373D" w:rsidP="00394053">
            <w:pPr>
              <w:pStyle w:val="TableCell"/>
              <w:jc w:val="center"/>
              <w:cnfStyle w:val="100000000000" w:firstRow="1" w:lastRow="0" w:firstColumn="0" w:lastColumn="0" w:oddVBand="0" w:evenVBand="0" w:oddHBand="0" w:evenHBand="0" w:firstRowFirstColumn="0" w:firstRowLastColumn="0" w:lastRowFirstColumn="0" w:lastRowLastColumn="0"/>
            </w:pPr>
            <w:r w:rsidRPr="001B79CE">
              <w:t>Reference</w:t>
            </w:r>
          </w:p>
        </w:tc>
      </w:tr>
      <w:tr w:rsidR="0003373D" w:rsidRPr="001B79CE" w14:paraId="770BAF2D" w14:textId="77777777" w:rsidTr="00394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5814F7B8" w14:textId="6379011B" w:rsidR="0003373D" w:rsidRPr="001B79CE" w:rsidRDefault="0003373D" w:rsidP="000D31EB">
            <w:pPr>
              <w:pStyle w:val="TableCell"/>
            </w:pPr>
            <w:r>
              <w:t>TBD</w:t>
            </w:r>
          </w:p>
        </w:tc>
        <w:tc>
          <w:tcPr>
            <w:tcW w:w="4533" w:type="dxa"/>
          </w:tcPr>
          <w:p w14:paraId="37703FBC" w14:textId="24F1C3F6" w:rsidR="0003373D" w:rsidRPr="001B79CE" w:rsidRDefault="0003373D" w:rsidP="000D31EB">
            <w:pPr>
              <w:pStyle w:val="TableCell"/>
              <w:cnfStyle w:val="000000100000" w:firstRow="0" w:lastRow="0" w:firstColumn="0" w:lastColumn="0" w:oddVBand="0" w:evenVBand="0" w:oddHBand="1" w:evenHBand="0" w:firstRowFirstColumn="0" w:firstRowLastColumn="0" w:lastRowFirstColumn="0" w:lastRowLastColumn="0"/>
            </w:pPr>
            <w:r>
              <w:t>SBSP BIB Block Type</w:t>
            </w:r>
          </w:p>
        </w:tc>
        <w:tc>
          <w:tcPr>
            <w:tcW w:w="3001" w:type="dxa"/>
          </w:tcPr>
          <w:p w14:paraId="6849ECBB" w14:textId="7E8DC49B" w:rsidR="0003373D" w:rsidRPr="001B79CE" w:rsidRDefault="0003373D" w:rsidP="000D31EB">
            <w:pPr>
              <w:pStyle w:val="TableCell"/>
              <w:cnfStyle w:val="000000100000" w:firstRow="0" w:lastRow="0" w:firstColumn="0" w:lastColumn="0" w:oddVBand="0" w:evenVBand="0" w:oddHBand="1" w:evenHBand="0" w:firstRowFirstColumn="0" w:firstRowLastColumn="0" w:lastRowFirstColumn="0" w:lastRowLastColumn="0"/>
            </w:pPr>
            <w:r>
              <w:t>This document</w:t>
            </w:r>
          </w:p>
        </w:tc>
      </w:tr>
      <w:tr w:rsidR="0003373D" w:rsidRPr="001B79CE" w14:paraId="0B3B73CF" w14:textId="77777777" w:rsidTr="00394053">
        <w:tc>
          <w:tcPr>
            <w:cnfStyle w:val="001000000000" w:firstRow="0" w:lastRow="0" w:firstColumn="1" w:lastColumn="0" w:oddVBand="0" w:evenVBand="0" w:oddHBand="0" w:evenHBand="0" w:firstRowFirstColumn="0" w:firstRowLastColumn="0" w:lastRowFirstColumn="0" w:lastRowLastColumn="0"/>
            <w:tcW w:w="1456" w:type="dxa"/>
          </w:tcPr>
          <w:p w14:paraId="164C4B1C" w14:textId="7C5FD88C" w:rsidR="0003373D" w:rsidRPr="001B79CE" w:rsidRDefault="0003373D" w:rsidP="000D31EB">
            <w:pPr>
              <w:pStyle w:val="TableCell"/>
            </w:pPr>
            <w:r>
              <w:t>TBD</w:t>
            </w:r>
          </w:p>
        </w:tc>
        <w:tc>
          <w:tcPr>
            <w:tcW w:w="4533" w:type="dxa"/>
          </w:tcPr>
          <w:p w14:paraId="07EA2B18" w14:textId="08489083" w:rsidR="0003373D" w:rsidRPr="001B79CE" w:rsidRDefault="0003373D" w:rsidP="000D31EB">
            <w:pPr>
              <w:pStyle w:val="TableCell"/>
              <w:cnfStyle w:val="000000000000" w:firstRow="0" w:lastRow="0" w:firstColumn="0" w:lastColumn="0" w:oddVBand="0" w:evenVBand="0" w:oddHBand="0" w:evenHBand="0" w:firstRowFirstColumn="0" w:firstRowLastColumn="0" w:lastRowFirstColumn="0" w:lastRowLastColumn="0"/>
            </w:pPr>
            <w:r>
              <w:t>SBSP BCB Block Type</w:t>
            </w:r>
          </w:p>
        </w:tc>
        <w:tc>
          <w:tcPr>
            <w:tcW w:w="3001" w:type="dxa"/>
          </w:tcPr>
          <w:p w14:paraId="3D83FADB" w14:textId="3546FCB7" w:rsidR="0003373D" w:rsidRPr="001B79CE" w:rsidRDefault="0003373D" w:rsidP="000D31EB">
            <w:pPr>
              <w:pStyle w:val="TableCell"/>
              <w:cnfStyle w:val="000000000000" w:firstRow="0" w:lastRow="0" w:firstColumn="0" w:lastColumn="0" w:oddVBand="0" w:evenVBand="0" w:oddHBand="0" w:evenHBand="0" w:firstRowFirstColumn="0" w:firstRowLastColumn="0" w:lastRowFirstColumn="0" w:lastRowLastColumn="0"/>
            </w:pPr>
            <w:r>
              <w:t>This document</w:t>
            </w:r>
          </w:p>
        </w:tc>
      </w:tr>
    </w:tbl>
    <w:p w14:paraId="7B56904F" w14:textId="77777777" w:rsidR="0003373D" w:rsidRDefault="0003373D" w:rsidP="00394053">
      <w:pPr>
        <w:jc w:val="both"/>
      </w:pPr>
    </w:p>
    <w:p w14:paraId="43B62239" w14:textId="77777777" w:rsidR="002C7A19" w:rsidRDefault="002C7A19" w:rsidP="00394053">
      <w:pPr>
        <w:jc w:val="both"/>
      </w:pPr>
    </w:p>
    <w:p w14:paraId="5FCD5D82" w14:textId="78707A2D" w:rsidR="00332FF3" w:rsidRDefault="00242946" w:rsidP="00394053">
      <w:pPr>
        <w:pStyle w:val="Annex4"/>
      </w:pPr>
      <w:commentRangeStart w:id="178"/>
      <w:r>
        <w:t>Security Context Identifiers</w:t>
      </w:r>
      <w:r w:rsidR="00332FF3" w:rsidRPr="001B79CE">
        <w:t xml:space="preserve"> Registry</w:t>
      </w:r>
      <w:commentRangeEnd w:id="178"/>
      <w:r w:rsidR="008B00D6">
        <w:rPr>
          <w:rStyle w:val="CommentReference"/>
          <w:b w:val="0"/>
          <w:caps/>
        </w:rPr>
        <w:commentReference w:id="178"/>
      </w:r>
    </w:p>
    <w:p w14:paraId="7A0188E9" w14:textId="554984D1" w:rsidR="00603267" w:rsidRDefault="00603267" w:rsidP="00394053"/>
    <w:p w14:paraId="00793832" w14:textId="59789B69" w:rsidR="00603267" w:rsidRDefault="00603267" w:rsidP="00394053">
      <w:pPr>
        <w:jc w:val="both"/>
      </w:pPr>
      <w:r>
        <w:t xml:space="preserve">The purpose of this registry is to document the </w:t>
      </w:r>
      <w:r w:rsidR="00865A41">
        <w:t xml:space="preserve">enumeration of security contexts defined for use with </w:t>
      </w:r>
      <w:r w:rsidR="00790A87">
        <w:t>DTN security protocols</w:t>
      </w:r>
      <w:r w:rsidR="00865A41">
        <w:t xml:space="preserve">. </w:t>
      </w:r>
      <w:r w:rsidR="00962437">
        <w:t>This registry is described as follows.</w:t>
      </w:r>
    </w:p>
    <w:p w14:paraId="7B29CFA2" w14:textId="64F4AAD9" w:rsidR="00603267" w:rsidRDefault="00790A87" w:rsidP="00C818EF">
      <w:pPr>
        <w:pStyle w:val="ListParagraph"/>
        <w:numPr>
          <w:ilvl w:val="0"/>
          <w:numId w:val="26"/>
        </w:numPr>
        <w:pPrChange w:id="179" w:author="Birrane, Edward J." w:date="2020-05-01T17:51:00Z">
          <w:pPr>
            <w:pStyle w:val="ListParagraph"/>
            <w:numPr>
              <w:numId w:val="99"/>
            </w:numPr>
            <w:tabs>
              <w:tab w:val="num" w:pos="360"/>
            </w:tabs>
          </w:pPr>
        </w:pPrChange>
      </w:pPr>
      <w:r w:rsidRPr="00394053">
        <w:rPr>
          <w:b/>
        </w:rPr>
        <w:t>Name</w:t>
      </w:r>
      <w:r>
        <w:t>: Security Context Identifiers Registry</w:t>
      </w:r>
    </w:p>
    <w:p w14:paraId="194B2BB0" w14:textId="3255009E" w:rsidR="00790A87" w:rsidRDefault="00790A87" w:rsidP="00C818EF">
      <w:pPr>
        <w:pStyle w:val="ListParagraph"/>
        <w:numPr>
          <w:ilvl w:val="0"/>
          <w:numId w:val="26"/>
        </w:numPr>
        <w:pPrChange w:id="180" w:author="Birrane, Edward J." w:date="2020-05-01T17:51:00Z">
          <w:pPr>
            <w:pStyle w:val="ListParagraph"/>
            <w:numPr>
              <w:numId w:val="99"/>
            </w:numPr>
            <w:tabs>
              <w:tab w:val="num" w:pos="360"/>
            </w:tabs>
          </w:pPr>
        </w:pPrChange>
      </w:pPr>
      <w:r>
        <w:rPr>
          <w:b/>
        </w:rPr>
        <w:t>Purpose</w:t>
      </w:r>
      <w:r>
        <w:t xml:space="preserve">: Enumerate security contexts defined for </w:t>
      </w:r>
      <w:r w:rsidR="00762541">
        <w:t>use with DTN security protocols.</w:t>
      </w:r>
    </w:p>
    <w:p w14:paraId="02056DD7" w14:textId="2017689E" w:rsidR="00762541" w:rsidRDefault="00762541" w:rsidP="00C818EF">
      <w:pPr>
        <w:pStyle w:val="ListParagraph"/>
        <w:numPr>
          <w:ilvl w:val="0"/>
          <w:numId w:val="26"/>
        </w:numPr>
        <w:pPrChange w:id="181" w:author="Birrane, Edward J." w:date="2020-05-01T17:51:00Z">
          <w:pPr>
            <w:pStyle w:val="ListParagraph"/>
            <w:numPr>
              <w:numId w:val="99"/>
            </w:numPr>
            <w:tabs>
              <w:tab w:val="num" w:pos="360"/>
            </w:tabs>
          </w:pPr>
        </w:pPrChange>
      </w:pPr>
      <w:r>
        <w:rPr>
          <w:b/>
        </w:rPr>
        <w:t>Structure</w:t>
      </w:r>
      <w:r>
        <w:t>: 3 Columns Table: Value; Description; Reference</w:t>
      </w:r>
    </w:p>
    <w:p w14:paraId="3D153949" w14:textId="480ACD49" w:rsidR="00762541" w:rsidRDefault="00762541" w:rsidP="00C818EF">
      <w:pPr>
        <w:pStyle w:val="ListParagraph"/>
        <w:numPr>
          <w:ilvl w:val="0"/>
          <w:numId w:val="26"/>
        </w:numPr>
        <w:pPrChange w:id="182" w:author="Birrane, Edward J." w:date="2020-05-01T17:51:00Z">
          <w:pPr>
            <w:pStyle w:val="ListParagraph"/>
            <w:numPr>
              <w:numId w:val="99"/>
            </w:numPr>
            <w:tabs>
              <w:tab w:val="num" w:pos="360"/>
            </w:tabs>
          </w:pPr>
        </w:pPrChange>
      </w:pPr>
      <w:r>
        <w:rPr>
          <w:b/>
        </w:rPr>
        <w:t>Data Types</w:t>
      </w:r>
      <w:r>
        <w:t xml:space="preserve">: </w:t>
      </w:r>
    </w:p>
    <w:p w14:paraId="61723C8A" w14:textId="7CDCA723" w:rsidR="00762541" w:rsidRDefault="00762541" w:rsidP="00C818EF">
      <w:pPr>
        <w:pStyle w:val="ListParagraph"/>
        <w:numPr>
          <w:ilvl w:val="1"/>
          <w:numId w:val="26"/>
        </w:numPr>
        <w:pPrChange w:id="183" w:author="Birrane, Edward J." w:date="2020-05-01T17:51:00Z">
          <w:pPr>
            <w:pStyle w:val="ListParagraph"/>
            <w:numPr>
              <w:ilvl w:val="1"/>
              <w:numId w:val="99"/>
            </w:numPr>
            <w:tabs>
              <w:tab w:val="num" w:pos="360"/>
            </w:tabs>
          </w:pPr>
        </w:pPrChange>
      </w:pPr>
      <w:r w:rsidRPr="00394053">
        <w:t xml:space="preserve">Value: </w:t>
      </w:r>
      <w:r w:rsidR="00366229">
        <w:t>16-bit u</w:t>
      </w:r>
      <w:r>
        <w:t>nsigned integer representing the enumeration of a security context.</w:t>
      </w:r>
    </w:p>
    <w:p w14:paraId="3804D251" w14:textId="3428F867" w:rsidR="00366229" w:rsidRDefault="00366229" w:rsidP="00C818EF">
      <w:pPr>
        <w:pStyle w:val="ListParagraph"/>
        <w:numPr>
          <w:ilvl w:val="1"/>
          <w:numId w:val="26"/>
        </w:numPr>
        <w:pPrChange w:id="184" w:author="Birrane, Edward J." w:date="2020-05-01T17:51:00Z">
          <w:pPr>
            <w:pStyle w:val="ListParagraph"/>
            <w:numPr>
              <w:ilvl w:val="1"/>
              <w:numId w:val="99"/>
            </w:numPr>
            <w:tabs>
              <w:tab w:val="num" w:pos="360"/>
            </w:tabs>
          </w:pPr>
        </w:pPrChange>
      </w:pPr>
      <w:r>
        <w:t>Description: A string of text describing the security context.</w:t>
      </w:r>
    </w:p>
    <w:p w14:paraId="22CE4755" w14:textId="092B8FDD" w:rsidR="00366229" w:rsidRDefault="00366229" w:rsidP="00C818EF">
      <w:pPr>
        <w:pStyle w:val="ListParagraph"/>
        <w:numPr>
          <w:ilvl w:val="1"/>
          <w:numId w:val="26"/>
        </w:numPr>
        <w:pPrChange w:id="185" w:author="Birrane, Edward J." w:date="2020-05-01T17:51:00Z">
          <w:pPr>
            <w:pStyle w:val="ListParagraph"/>
            <w:numPr>
              <w:ilvl w:val="1"/>
              <w:numId w:val="99"/>
            </w:numPr>
            <w:tabs>
              <w:tab w:val="num" w:pos="360"/>
            </w:tabs>
          </w:pPr>
        </w:pPrChange>
      </w:pPr>
      <w:r>
        <w:t>Reference: The formal specification of the security context.</w:t>
      </w:r>
    </w:p>
    <w:p w14:paraId="673AD252" w14:textId="1685EC3E" w:rsidR="000F6506" w:rsidRDefault="000F6506" w:rsidP="00C818EF">
      <w:pPr>
        <w:pStyle w:val="ListParagraph"/>
        <w:numPr>
          <w:ilvl w:val="0"/>
          <w:numId w:val="26"/>
        </w:numPr>
        <w:pPrChange w:id="186" w:author="Birrane, Edward J." w:date="2020-05-01T17:51:00Z">
          <w:pPr>
            <w:pStyle w:val="ListParagraph"/>
            <w:numPr>
              <w:numId w:val="99"/>
            </w:numPr>
            <w:tabs>
              <w:tab w:val="num" w:pos="360"/>
            </w:tabs>
          </w:pPr>
        </w:pPrChange>
      </w:pPr>
      <w:r>
        <w:rPr>
          <w:b/>
        </w:rPr>
        <w:t>Category</w:t>
      </w:r>
      <w:r>
        <w:t>: WG/Local</w:t>
      </w:r>
    </w:p>
    <w:p w14:paraId="00E11E16" w14:textId="77777777" w:rsidR="000F6506" w:rsidRDefault="000F6506" w:rsidP="00C818EF">
      <w:pPr>
        <w:pStyle w:val="ListParagraph"/>
        <w:numPr>
          <w:ilvl w:val="0"/>
          <w:numId w:val="26"/>
        </w:numPr>
        <w:pPrChange w:id="187" w:author="Birrane, Edward J." w:date="2020-05-01T17:51:00Z">
          <w:pPr>
            <w:pStyle w:val="ListParagraph"/>
            <w:numPr>
              <w:numId w:val="99"/>
            </w:numPr>
            <w:tabs>
              <w:tab w:val="num" w:pos="360"/>
            </w:tabs>
          </w:pPr>
        </w:pPrChange>
      </w:pPr>
      <w:r>
        <w:rPr>
          <w:b/>
        </w:rPr>
        <w:t>Review Authority</w:t>
      </w:r>
      <w:r w:rsidRPr="00394053">
        <w:t>:</w:t>
      </w:r>
      <w:r>
        <w:t xml:space="preserve"> SIS Area or designee</w:t>
      </w:r>
    </w:p>
    <w:p w14:paraId="2AC4B5E1" w14:textId="6FB828F7" w:rsidR="000F6506" w:rsidRDefault="000F6506" w:rsidP="00C818EF">
      <w:pPr>
        <w:pStyle w:val="ListParagraph"/>
        <w:numPr>
          <w:ilvl w:val="0"/>
          <w:numId w:val="26"/>
        </w:numPr>
        <w:pPrChange w:id="188" w:author="Birrane, Edward J." w:date="2020-05-01T17:51:00Z">
          <w:pPr>
            <w:pStyle w:val="ListParagraph"/>
            <w:numPr>
              <w:numId w:val="99"/>
            </w:numPr>
            <w:tabs>
              <w:tab w:val="num" w:pos="360"/>
            </w:tabs>
          </w:pPr>
        </w:pPrChange>
      </w:pPr>
      <w:r>
        <w:rPr>
          <w:b/>
        </w:rPr>
        <w:t>Registration Procedure</w:t>
      </w:r>
      <w:r>
        <w:t>: New values of this registry requires an official representative of a space agency member of the CCSDS, an approved, published specification from a recognized standards organization, and expert CESG review.</w:t>
      </w:r>
    </w:p>
    <w:p w14:paraId="07087EE6" w14:textId="57A72C08" w:rsidR="00346A17" w:rsidRDefault="00346A17" w:rsidP="00394053">
      <w:pPr>
        <w:jc w:val="both"/>
      </w:pPr>
    </w:p>
    <w:p w14:paraId="4351085F" w14:textId="70288DD4" w:rsidR="00346A17" w:rsidRDefault="00346A17" w:rsidP="00394053">
      <w:r>
        <w:t>The initial registry should be filled with the following values.</w:t>
      </w:r>
    </w:p>
    <w:p w14:paraId="5ED5F53A" w14:textId="77777777" w:rsidR="00346A17" w:rsidRDefault="00346A17" w:rsidP="00394053"/>
    <w:p w14:paraId="2D7809B8" w14:textId="4D2378E7" w:rsidR="00844D49" w:rsidRPr="00394053" w:rsidRDefault="00844D49" w:rsidP="00394053">
      <w:pPr>
        <w:pStyle w:val="Caption"/>
        <w:keepNext/>
        <w:jc w:val="center"/>
        <w:rPr>
          <w:i w:val="0"/>
          <w:color w:val="auto"/>
          <w:sz w:val="24"/>
          <w:szCs w:val="24"/>
        </w:rPr>
      </w:pPr>
      <w:bookmarkStart w:id="189" w:name="_Toc39246963"/>
      <w:r w:rsidRPr="00394053">
        <w:rPr>
          <w:i w:val="0"/>
          <w:color w:val="auto"/>
          <w:sz w:val="24"/>
          <w:szCs w:val="24"/>
        </w:rPr>
        <w:t xml:space="preserve">Table </w:t>
      </w:r>
      <w:r w:rsidR="00713AF0">
        <w:rPr>
          <w:i w:val="0"/>
          <w:color w:val="auto"/>
          <w:sz w:val="24"/>
          <w:szCs w:val="24"/>
        </w:rPr>
        <w:fldChar w:fldCharType="begin"/>
      </w:r>
      <w:r w:rsidR="00713AF0">
        <w:rPr>
          <w:i w:val="0"/>
          <w:color w:val="auto"/>
          <w:sz w:val="24"/>
          <w:szCs w:val="24"/>
        </w:rPr>
        <w:instrText xml:space="preserve"> STYLEREF 8 \s </w:instrText>
      </w:r>
      <w:r w:rsidR="00713AF0">
        <w:rPr>
          <w:i w:val="0"/>
          <w:color w:val="auto"/>
          <w:sz w:val="24"/>
          <w:szCs w:val="24"/>
        </w:rPr>
        <w:fldChar w:fldCharType="separate"/>
      </w:r>
      <w:r w:rsidR="00713AF0">
        <w:rPr>
          <w:i w:val="0"/>
          <w:noProof/>
          <w:color w:val="auto"/>
          <w:sz w:val="24"/>
          <w:szCs w:val="24"/>
        </w:rPr>
        <w:t>B</w:t>
      </w:r>
      <w:r w:rsidR="00713AF0">
        <w:rPr>
          <w:i w:val="0"/>
          <w:color w:val="auto"/>
          <w:sz w:val="24"/>
          <w:szCs w:val="24"/>
        </w:rPr>
        <w:fldChar w:fldCharType="end"/>
      </w:r>
      <w:r w:rsidR="00713AF0">
        <w:rPr>
          <w:i w:val="0"/>
          <w:color w:val="auto"/>
          <w:sz w:val="24"/>
          <w:szCs w:val="24"/>
        </w:rPr>
        <w:noBreakHyphen/>
      </w:r>
      <w:r w:rsidR="00713AF0">
        <w:rPr>
          <w:i w:val="0"/>
          <w:color w:val="auto"/>
          <w:sz w:val="24"/>
          <w:szCs w:val="24"/>
        </w:rPr>
        <w:fldChar w:fldCharType="begin"/>
      </w:r>
      <w:r w:rsidR="00713AF0">
        <w:rPr>
          <w:i w:val="0"/>
          <w:color w:val="auto"/>
          <w:sz w:val="24"/>
          <w:szCs w:val="24"/>
        </w:rPr>
        <w:instrText xml:space="preserve"> SEQ Table \* ARABIC \s 8 </w:instrText>
      </w:r>
      <w:r w:rsidR="00713AF0">
        <w:rPr>
          <w:i w:val="0"/>
          <w:color w:val="auto"/>
          <w:sz w:val="24"/>
          <w:szCs w:val="24"/>
        </w:rPr>
        <w:fldChar w:fldCharType="separate"/>
      </w:r>
      <w:r w:rsidR="004A6369">
        <w:rPr>
          <w:i w:val="0"/>
          <w:noProof/>
          <w:color w:val="auto"/>
          <w:sz w:val="24"/>
          <w:szCs w:val="24"/>
        </w:rPr>
        <w:t>2</w:t>
      </w:r>
      <w:r w:rsidR="00713AF0">
        <w:rPr>
          <w:i w:val="0"/>
          <w:color w:val="auto"/>
          <w:sz w:val="24"/>
          <w:szCs w:val="24"/>
        </w:rPr>
        <w:fldChar w:fldCharType="end"/>
      </w:r>
      <w:r w:rsidRPr="00394053">
        <w:rPr>
          <w:i w:val="0"/>
          <w:color w:val="auto"/>
          <w:sz w:val="24"/>
          <w:szCs w:val="24"/>
        </w:rPr>
        <w:t xml:space="preserve"> Security Context Identifier Values</w:t>
      </w:r>
      <w:bookmarkEnd w:id="189"/>
    </w:p>
    <w:tbl>
      <w:tblPr>
        <w:tblStyle w:val="GridTable4-Accent5"/>
        <w:tblW w:w="0" w:type="auto"/>
        <w:tblLook w:val="04A0" w:firstRow="1" w:lastRow="0" w:firstColumn="1" w:lastColumn="0" w:noHBand="0" w:noVBand="1"/>
      </w:tblPr>
      <w:tblGrid>
        <w:gridCol w:w="1456"/>
        <w:gridCol w:w="4533"/>
        <w:gridCol w:w="3001"/>
      </w:tblGrid>
      <w:tr w:rsidR="00A50C5C" w:rsidRPr="001B79CE" w14:paraId="1EB884C8" w14:textId="77777777" w:rsidTr="00394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139D05DB" w14:textId="77777777" w:rsidR="00A50C5C" w:rsidRPr="001B79CE" w:rsidRDefault="00A50C5C" w:rsidP="000D31EB">
            <w:pPr>
              <w:pStyle w:val="TableCell"/>
              <w:jc w:val="center"/>
            </w:pPr>
            <w:r w:rsidRPr="001B79CE">
              <w:t>Value</w:t>
            </w:r>
          </w:p>
        </w:tc>
        <w:tc>
          <w:tcPr>
            <w:tcW w:w="4533" w:type="dxa"/>
          </w:tcPr>
          <w:p w14:paraId="09F64F4B" w14:textId="77777777" w:rsidR="00A50C5C" w:rsidRPr="001B79CE" w:rsidRDefault="00A50C5C" w:rsidP="000D31EB">
            <w:pPr>
              <w:pStyle w:val="TableCell"/>
              <w:jc w:val="center"/>
              <w:cnfStyle w:val="100000000000" w:firstRow="1" w:lastRow="0" w:firstColumn="0" w:lastColumn="0" w:oddVBand="0" w:evenVBand="0" w:oddHBand="0" w:evenHBand="0" w:firstRowFirstColumn="0" w:firstRowLastColumn="0" w:lastRowFirstColumn="0" w:lastRowLastColumn="0"/>
            </w:pPr>
            <w:r w:rsidRPr="001B79CE">
              <w:t>Description</w:t>
            </w:r>
          </w:p>
        </w:tc>
        <w:tc>
          <w:tcPr>
            <w:tcW w:w="3001" w:type="dxa"/>
          </w:tcPr>
          <w:p w14:paraId="494CB495" w14:textId="77777777" w:rsidR="00A50C5C" w:rsidRPr="001B79CE" w:rsidRDefault="00A50C5C" w:rsidP="000D31EB">
            <w:pPr>
              <w:pStyle w:val="TableCell"/>
              <w:jc w:val="center"/>
              <w:cnfStyle w:val="100000000000" w:firstRow="1" w:lastRow="0" w:firstColumn="0" w:lastColumn="0" w:oddVBand="0" w:evenVBand="0" w:oddHBand="0" w:evenHBand="0" w:firstRowFirstColumn="0" w:firstRowLastColumn="0" w:lastRowFirstColumn="0" w:lastRowLastColumn="0"/>
            </w:pPr>
            <w:r w:rsidRPr="001B79CE">
              <w:t>Reference</w:t>
            </w:r>
          </w:p>
        </w:tc>
      </w:tr>
      <w:tr w:rsidR="00A50C5C" w:rsidRPr="001B79CE" w14:paraId="642A3139" w14:textId="77777777" w:rsidTr="00394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27CABF87" w14:textId="780A30AF" w:rsidR="00A50C5C" w:rsidRPr="001B79CE" w:rsidRDefault="00A50C5C" w:rsidP="000D31EB">
            <w:pPr>
              <w:pStyle w:val="TableCell"/>
            </w:pPr>
            <w:r>
              <w:t>0</w:t>
            </w:r>
          </w:p>
        </w:tc>
        <w:tc>
          <w:tcPr>
            <w:tcW w:w="4533" w:type="dxa"/>
          </w:tcPr>
          <w:p w14:paraId="282273D6" w14:textId="0578E79B" w:rsidR="00A50C5C" w:rsidRPr="001B79CE" w:rsidRDefault="00A50C5C" w:rsidP="000D31EB">
            <w:pPr>
              <w:pStyle w:val="TableCell"/>
              <w:cnfStyle w:val="000000100000" w:firstRow="0" w:lastRow="0" w:firstColumn="0" w:lastColumn="0" w:oddVBand="0" w:evenVBand="0" w:oddHBand="1" w:evenHBand="0" w:firstRowFirstColumn="0" w:firstRowLastColumn="0" w:lastRowFirstColumn="0" w:lastRowLastColumn="0"/>
            </w:pPr>
            <w:r>
              <w:t>Reserved for Testing</w:t>
            </w:r>
          </w:p>
        </w:tc>
        <w:tc>
          <w:tcPr>
            <w:tcW w:w="3001" w:type="dxa"/>
          </w:tcPr>
          <w:p w14:paraId="4CC2B1C2" w14:textId="77777777" w:rsidR="00A50C5C" w:rsidRPr="001B79CE" w:rsidRDefault="00A50C5C" w:rsidP="000D31EB">
            <w:pPr>
              <w:pStyle w:val="TableCell"/>
              <w:cnfStyle w:val="000000100000" w:firstRow="0" w:lastRow="0" w:firstColumn="0" w:lastColumn="0" w:oddVBand="0" w:evenVBand="0" w:oddHBand="1" w:evenHBand="0" w:firstRowFirstColumn="0" w:firstRowLastColumn="0" w:lastRowFirstColumn="0" w:lastRowLastColumn="0"/>
            </w:pPr>
            <w:r>
              <w:t>This document</w:t>
            </w:r>
          </w:p>
        </w:tc>
      </w:tr>
      <w:tr w:rsidR="00A50C5C" w:rsidRPr="001B79CE" w14:paraId="02A1D4FB" w14:textId="77777777" w:rsidTr="00394053">
        <w:tc>
          <w:tcPr>
            <w:cnfStyle w:val="001000000000" w:firstRow="0" w:lastRow="0" w:firstColumn="1" w:lastColumn="0" w:oddVBand="0" w:evenVBand="0" w:oddHBand="0" w:evenHBand="0" w:firstRowFirstColumn="0" w:firstRowLastColumn="0" w:lastRowFirstColumn="0" w:lastRowLastColumn="0"/>
            <w:tcW w:w="1456" w:type="dxa"/>
          </w:tcPr>
          <w:p w14:paraId="41AF3811" w14:textId="1DBAA4AE" w:rsidR="00A50C5C" w:rsidRPr="001B79CE" w:rsidRDefault="00A50C5C" w:rsidP="000D31EB">
            <w:pPr>
              <w:pStyle w:val="TableCell"/>
            </w:pPr>
            <w:r>
              <w:t>1</w:t>
            </w:r>
          </w:p>
        </w:tc>
        <w:tc>
          <w:tcPr>
            <w:tcW w:w="4533" w:type="dxa"/>
          </w:tcPr>
          <w:p w14:paraId="7A06AE47" w14:textId="171054A1" w:rsidR="00A50C5C" w:rsidRPr="001B79CE" w:rsidRDefault="00A50C5C" w:rsidP="000D31EB">
            <w:pPr>
              <w:pStyle w:val="TableCell"/>
              <w:cnfStyle w:val="000000000000" w:firstRow="0" w:lastRow="0" w:firstColumn="0" w:lastColumn="0" w:oddVBand="0" w:evenVBand="0" w:oddHBand="0" w:evenHBand="0" w:firstRowFirstColumn="0" w:firstRowLastColumn="0" w:lastRowFirstColumn="0" w:lastRowLastColumn="0"/>
            </w:pPr>
            <w:r>
              <w:t>SBSP Baseline Context</w:t>
            </w:r>
          </w:p>
        </w:tc>
        <w:tc>
          <w:tcPr>
            <w:tcW w:w="3001" w:type="dxa"/>
          </w:tcPr>
          <w:p w14:paraId="6D58CC48" w14:textId="77777777" w:rsidR="00A50C5C" w:rsidRPr="001B79CE" w:rsidRDefault="00A50C5C" w:rsidP="000D31EB">
            <w:pPr>
              <w:pStyle w:val="TableCell"/>
              <w:cnfStyle w:val="000000000000" w:firstRow="0" w:lastRow="0" w:firstColumn="0" w:lastColumn="0" w:oddVBand="0" w:evenVBand="0" w:oddHBand="0" w:evenHBand="0" w:firstRowFirstColumn="0" w:firstRowLastColumn="0" w:lastRowFirstColumn="0" w:lastRowLastColumn="0"/>
            </w:pPr>
            <w:r>
              <w:t>This document</w:t>
            </w:r>
          </w:p>
        </w:tc>
      </w:tr>
    </w:tbl>
    <w:p w14:paraId="00AB96A2" w14:textId="3B7AD1D8" w:rsidR="00A209CB" w:rsidRDefault="009241D8" w:rsidP="00A209CB">
      <w:pPr>
        <w:pStyle w:val="Annex3"/>
        <w:spacing w:before="480"/>
      </w:pPr>
      <w:r>
        <w:t>Patent Considerations</w:t>
      </w:r>
    </w:p>
    <w:p w14:paraId="71D125E8" w14:textId="77777777" w:rsidR="00296996" w:rsidRPr="00394053" w:rsidRDefault="00296996" w:rsidP="00394053"/>
    <w:p w14:paraId="3BE82FE2" w14:textId="77777777" w:rsidR="00332FF3" w:rsidRDefault="00332FF3" w:rsidP="00394053">
      <w:pPr>
        <w:jc w:val="both"/>
      </w:pPr>
      <w:r w:rsidRPr="001B79CE">
        <w:t>There are no known patents covering the Streamlined Bundle Security Protocol as described in this document and its normative references.</w:t>
      </w:r>
    </w:p>
    <w:p w14:paraId="5581CC83" w14:textId="77777777" w:rsidR="00332FF3" w:rsidRDefault="00332FF3" w:rsidP="00332FF3"/>
    <w:p w14:paraId="6F8FAE81" w14:textId="77777777" w:rsidR="00442604" w:rsidRDefault="00442604" w:rsidP="00332FF3">
      <w:pPr>
        <w:sectPr w:rsidR="00442604" w:rsidSect="00A32DEB">
          <w:type w:val="continuous"/>
          <w:pgSz w:w="12240" w:h="15840"/>
          <w:pgMar w:top="1440" w:right="1440" w:bottom="1440" w:left="1440" w:header="547" w:footer="547" w:gutter="360"/>
          <w:pgNumType w:start="1" w:chapStyle="8"/>
          <w:cols w:space="720"/>
          <w:docGrid w:linePitch="360"/>
        </w:sectPr>
      </w:pPr>
    </w:p>
    <w:p w14:paraId="0BBBF4EF" w14:textId="77777777" w:rsidR="00332FF3" w:rsidRDefault="00332FF3" w:rsidP="00332FF3">
      <w:pPr>
        <w:sectPr w:rsidR="00332FF3" w:rsidSect="00A32DEB">
          <w:type w:val="continuous"/>
          <w:pgSz w:w="12240" w:h="15840"/>
          <w:pgMar w:top="1440" w:right="1440" w:bottom="1440" w:left="1440" w:header="547" w:footer="547" w:gutter="360"/>
          <w:pgNumType w:start="1" w:chapStyle="8"/>
          <w:cols w:space="720"/>
          <w:docGrid w:linePitch="360"/>
        </w:sectPr>
      </w:pPr>
    </w:p>
    <w:p w14:paraId="44B0248E" w14:textId="77777777" w:rsidR="00332FF3" w:rsidRDefault="00332FF3" w:rsidP="005278C3">
      <w:pPr>
        <w:pStyle w:val="Heading8"/>
      </w:pPr>
      <w:r w:rsidRPr="005278C3">
        <w:lastRenderedPageBreak/>
        <w:br/>
      </w:r>
      <w:r w:rsidRPr="005278C3">
        <w:br/>
      </w:r>
      <w:bookmarkStart w:id="190" w:name="_Toc39246859"/>
      <w:r>
        <w:t>Informative References</w:t>
      </w:r>
      <w:r>
        <w:br/>
      </w:r>
      <w:r w:rsidR="006E5B12">
        <w:t xml:space="preserve"> </w:t>
      </w:r>
      <w:r>
        <w:br/>
        <w:t>(Informative)</w:t>
      </w:r>
      <w:bookmarkEnd w:id="190"/>
    </w:p>
    <w:p w14:paraId="34772A1D" w14:textId="77777777" w:rsidR="0040447E" w:rsidRDefault="0040447E" w:rsidP="0040447E">
      <w:pPr>
        <w:pStyle w:val="References"/>
        <w:spacing w:before="480"/>
      </w:pPr>
      <w:r w:rsidRPr="001B79CE">
        <w:t>[</w:t>
      </w:r>
      <w:bookmarkStart w:id="191" w:name="R_351x0m1SecurityArchitectureForSpaceDat"/>
      <w:r>
        <w:fldChar w:fldCharType="begin"/>
      </w:r>
      <w:r>
        <w:instrText xml:space="preserve"> STYLEREF "Heading 8,Annex Heading 1"\l \n \t \* MERGEFORMAT \* MERGEFORMAT </w:instrText>
      </w:r>
      <w:r>
        <w:fldChar w:fldCharType="separate"/>
      </w:r>
      <w:r w:rsidR="00F120FD">
        <w:rPr>
          <w:noProof/>
        </w:rPr>
        <w:t>C</w:t>
      </w:r>
      <w:r>
        <w:fldChar w:fldCharType="end"/>
      </w:r>
      <w:fldSimple w:instr=" SEQ ref \s 8 \* MERGEFORMAT \* MERGEFORMAT ">
        <w:r w:rsidR="00F120FD">
          <w:rPr>
            <w:noProof/>
          </w:rPr>
          <w:t>1</w:t>
        </w:r>
      </w:fldSimple>
      <w:bookmarkEnd w:id="191"/>
      <w:r>
        <w:t>]</w:t>
      </w:r>
      <w:r w:rsidRPr="001B79CE">
        <w:tab/>
      </w:r>
      <w:r w:rsidRPr="005B7F71">
        <w:rPr>
          <w:i/>
          <w:iCs/>
        </w:rPr>
        <w:t>Security Architecture for Space Data Systems</w:t>
      </w:r>
      <w:r w:rsidRPr="0040447E">
        <w:t xml:space="preserve">. Issue 1. </w:t>
      </w:r>
      <w:r w:rsidR="00AB08B1">
        <w:t xml:space="preserve">Recommendation for Space Data System </w:t>
      </w:r>
      <w:r w:rsidR="005B7F71">
        <w:t>Practices</w:t>
      </w:r>
      <w:r w:rsidR="00AB08B1">
        <w:t xml:space="preserve"> (Magenta Book), </w:t>
      </w:r>
      <w:r w:rsidRPr="0040447E">
        <w:t>CCSDS 351.0-M-1. Washington, D.C.: CCSDS, November 2012.</w:t>
      </w:r>
    </w:p>
    <w:p w14:paraId="5A975BCC" w14:textId="77777777" w:rsidR="00A83C2F" w:rsidRDefault="00A83C2F" w:rsidP="000D70DA">
      <w:pPr>
        <w:pStyle w:val="References"/>
        <w:spacing w:before="480"/>
      </w:pPr>
      <w:r w:rsidRPr="001B79CE">
        <w:t>[</w:t>
      </w:r>
      <w:bookmarkStart w:id="192" w:name="R_350x7g1SecurityGuideForMissionPlanners"/>
      <w:r>
        <w:fldChar w:fldCharType="begin"/>
      </w:r>
      <w:r>
        <w:instrText xml:space="preserve"> STYLEREF "Heading 8,Annex Heading 1"\l \n \t \* MERGEFORMAT \* MERGEFORMAT </w:instrText>
      </w:r>
      <w:r>
        <w:fldChar w:fldCharType="separate"/>
      </w:r>
      <w:r w:rsidR="00F120FD">
        <w:rPr>
          <w:noProof/>
        </w:rPr>
        <w:t>C</w:t>
      </w:r>
      <w:r>
        <w:fldChar w:fldCharType="end"/>
      </w:r>
      <w:fldSimple w:instr=" SEQ ref \s 8 \* MERGEFORMAT \* MERGEFORMAT ">
        <w:r w:rsidR="00F120FD">
          <w:rPr>
            <w:noProof/>
          </w:rPr>
          <w:t>2</w:t>
        </w:r>
      </w:fldSimple>
      <w:bookmarkEnd w:id="192"/>
      <w:r>
        <w:t>]</w:t>
      </w:r>
      <w:r w:rsidRPr="001B79CE">
        <w:tab/>
      </w:r>
      <w:r w:rsidRPr="005B7F71">
        <w:rPr>
          <w:i/>
          <w:iCs/>
        </w:rPr>
        <w:t>Security Guide for Mission Planners</w:t>
      </w:r>
      <w:r w:rsidRPr="00A83C2F">
        <w:t xml:space="preserve">. Issue 1. </w:t>
      </w:r>
      <w:r w:rsidR="005B7F71">
        <w:t xml:space="preserve">Report Concerning </w:t>
      </w:r>
      <w:r w:rsidR="00AB08B1">
        <w:t xml:space="preserve">Space Data System Standards (Green Book) </w:t>
      </w:r>
      <w:r w:rsidRPr="00A83C2F">
        <w:t xml:space="preserve">CCSDS 350.7-G-1. Washington, D.C.: </w:t>
      </w:r>
      <w:r w:rsidR="00AB08B1">
        <w:t xml:space="preserve">CCSDS </w:t>
      </w:r>
      <w:r w:rsidR="00AB08B1" w:rsidRPr="00A83C2F">
        <w:t>October 2011</w:t>
      </w:r>
      <w:r w:rsidR="00AB08B1">
        <w:t>.</w:t>
      </w:r>
    </w:p>
    <w:p w14:paraId="7BA982F6" w14:textId="77777777" w:rsidR="00A83C2F" w:rsidRDefault="00A83C2F" w:rsidP="00A83C2F">
      <w:pPr>
        <w:pStyle w:val="References"/>
        <w:spacing w:before="480"/>
      </w:pPr>
      <w:r w:rsidRPr="001B79CE">
        <w:t>[</w:t>
      </w:r>
      <w:bookmarkStart w:id="193" w:name="R_RFC3552GuidelinesForWritingRFCTextOnSe"/>
      <w:r>
        <w:fldChar w:fldCharType="begin"/>
      </w:r>
      <w:r>
        <w:instrText xml:space="preserve"> STYLEREF "Heading 8,Annex Heading 1"\l \n \t \* MERGEFORMAT \* MERGEFORMAT </w:instrText>
      </w:r>
      <w:r>
        <w:fldChar w:fldCharType="separate"/>
      </w:r>
      <w:r w:rsidR="00F120FD">
        <w:rPr>
          <w:noProof/>
        </w:rPr>
        <w:t>C</w:t>
      </w:r>
      <w:r>
        <w:fldChar w:fldCharType="end"/>
      </w:r>
      <w:fldSimple w:instr=" SEQ ref \s 8 \* MERGEFORMAT \* MERGEFORMAT ">
        <w:r w:rsidR="00F120FD">
          <w:rPr>
            <w:noProof/>
          </w:rPr>
          <w:t>3</w:t>
        </w:r>
      </w:fldSimple>
      <w:bookmarkEnd w:id="193"/>
      <w:r>
        <w:t>]</w:t>
      </w:r>
      <w:r w:rsidRPr="001B79CE">
        <w:tab/>
        <w:t xml:space="preserve">E. Rescorla and B. Korver. </w:t>
      </w:r>
      <w:r w:rsidRPr="001B79CE">
        <w:rPr>
          <w:i/>
          <w:iCs/>
        </w:rPr>
        <w:t>Guidelines for Writing RFC Text on Security Considerations</w:t>
      </w:r>
      <w:r w:rsidRPr="001B79CE">
        <w:t>. RFC 3552. Reston, Virginia: ISOC, July 2003.</w:t>
      </w:r>
    </w:p>
    <w:p w14:paraId="43BBDFEA" w14:textId="77777777" w:rsidR="005C616F" w:rsidRDefault="005C616F" w:rsidP="005C616F">
      <w:pPr>
        <w:pStyle w:val="References"/>
        <w:spacing w:before="480"/>
      </w:pPr>
      <w:bookmarkStart w:id="194" w:name="R_350x1g2SecurityThreatsAgainstSpaceMiss"/>
      <w:r w:rsidRPr="001B79CE">
        <w:t>[</w:t>
      </w:r>
      <w:fldSimple w:instr=" STYLEREF &quot;Heading 8,Annex Heading 1&quot;\l \n \t \* MERGEFORMAT \* MERGEFORMAT ">
        <w:r w:rsidR="00F120FD">
          <w:rPr>
            <w:noProof/>
          </w:rPr>
          <w:t>C</w:t>
        </w:r>
      </w:fldSimple>
      <w:fldSimple w:instr=" SEQ ref \s 8 \* MERGEFORMAT \* MERGEFORMAT ">
        <w:r w:rsidR="00F120FD">
          <w:rPr>
            <w:noProof/>
          </w:rPr>
          <w:t>4</w:t>
        </w:r>
      </w:fldSimple>
      <w:r>
        <w:t>]</w:t>
      </w:r>
      <w:r w:rsidRPr="001B79CE">
        <w:tab/>
      </w:r>
      <w:r w:rsidRPr="005B7F71">
        <w:rPr>
          <w:i/>
          <w:iCs/>
        </w:rPr>
        <w:t>Security Threats against Space Missions</w:t>
      </w:r>
      <w:r w:rsidRPr="0015771C">
        <w:t xml:space="preserve">. Issue 2. </w:t>
      </w:r>
      <w:r w:rsidR="005B7F71">
        <w:t>Report Concerning</w:t>
      </w:r>
      <w:r>
        <w:t xml:space="preserve"> Space Data System Standards (Green Book) </w:t>
      </w:r>
      <w:r w:rsidRPr="0015771C">
        <w:t>CCSDS 350.1-G-2. Washington, D.C</w:t>
      </w:r>
      <w:r>
        <w:t xml:space="preserve">.: CCSDS, </w:t>
      </w:r>
      <w:r w:rsidRPr="0015771C">
        <w:t>December 2015</w:t>
      </w:r>
      <w:r>
        <w:t>.</w:t>
      </w:r>
    </w:p>
    <w:p w14:paraId="1989E276" w14:textId="77777777" w:rsidR="005C616F" w:rsidRDefault="005C616F" w:rsidP="005C616F">
      <w:pPr>
        <w:pStyle w:val="References"/>
        <w:spacing w:before="480"/>
      </w:pPr>
      <w:r w:rsidRPr="001B79CE">
        <w:t>[</w:t>
      </w:r>
      <w:bookmarkStart w:id="195" w:name="R_ISO7498x2InformationProcessingSystemsB"/>
      <w:r>
        <w:fldChar w:fldCharType="begin"/>
      </w:r>
      <w:r>
        <w:instrText xml:space="preserve"> STYLEREF "Heading 8,Annex Heading 1"\l \n \t \* MERGEFORMAT \* MERGEFORMAT </w:instrText>
      </w:r>
      <w:r>
        <w:fldChar w:fldCharType="separate"/>
      </w:r>
      <w:r w:rsidR="00F120FD">
        <w:rPr>
          <w:noProof/>
        </w:rPr>
        <w:t>C</w:t>
      </w:r>
      <w:r>
        <w:fldChar w:fldCharType="end"/>
      </w:r>
      <w:fldSimple w:instr=" SEQ ref \s 8 \* MERGEFORMAT \* MERGEFORMAT ">
        <w:r w:rsidR="00F120FD">
          <w:rPr>
            <w:noProof/>
          </w:rPr>
          <w:t>5</w:t>
        </w:r>
      </w:fldSimple>
      <w:bookmarkEnd w:id="195"/>
      <w:r>
        <w:t>]</w:t>
      </w:r>
      <w:r w:rsidRPr="001B79CE">
        <w:tab/>
      </w:r>
      <w:r w:rsidRPr="005B7F71">
        <w:rPr>
          <w:i/>
          <w:iCs/>
        </w:rPr>
        <w:t>Information Processing Systems—Open Systems Interconnection—Basic Reference Model—Part 2: Security Architecture</w:t>
      </w:r>
      <w:r>
        <w:t xml:space="preserve">. International Standard, ISO 7498-2:1989. Geneva: ISO, 1989. </w:t>
      </w:r>
      <w:r w:rsidRPr="0015771C">
        <w:t>2015</w:t>
      </w:r>
      <w:r>
        <w:t>.</w:t>
      </w:r>
    </w:p>
    <w:p w14:paraId="59C18329" w14:textId="77777777" w:rsidR="00970D3B" w:rsidRDefault="00970D3B" w:rsidP="005C616F">
      <w:pPr>
        <w:pStyle w:val="References"/>
        <w:spacing w:before="480"/>
      </w:pPr>
      <w:r w:rsidRPr="001B79CE">
        <w:t>[</w:t>
      </w:r>
      <w:bookmarkStart w:id="196" w:name="R_350x0g2TheApplicationOfCCSDSProtocolsT"/>
      <w:r>
        <w:fldChar w:fldCharType="begin"/>
      </w:r>
      <w:r>
        <w:instrText xml:space="preserve"> STYLEREF "Heading 8,Annex Heading 1"\l \n \t \* MERGEFORMAT \* MERGEFORMAT </w:instrText>
      </w:r>
      <w:r>
        <w:fldChar w:fldCharType="separate"/>
      </w:r>
      <w:r w:rsidR="00F120FD">
        <w:rPr>
          <w:noProof/>
        </w:rPr>
        <w:t>C</w:t>
      </w:r>
      <w:r>
        <w:fldChar w:fldCharType="end"/>
      </w:r>
      <w:fldSimple w:instr=" SEQ ref \s 8 \* MERGEFORMAT \* MERGEFORMAT ">
        <w:r w:rsidR="00F120FD">
          <w:rPr>
            <w:noProof/>
          </w:rPr>
          <w:t>6</w:t>
        </w:r>
      </w:fldSimple>
      <w:bookmarkEnd w:id="196"/>
      <w:r>
        <w:t>]</w:t>
      </w:r>
      <w:r w:rsidRPr="001B79CE">
        <w:tab/>
      </w:r>
      <w:r w:rsidRPr="000F4F8B">
        <w:rPr>
          <w:i/>
          <w:iCs/>
        </w:rPr>
        <w:t>The Application of CCSDS Protocols to Secure Systems. Issue 2</w:t>
      </w:r>
      <w:r w:rsidRPr="00970D3B">
        <w:t xml:space="preserve">. </w:t>
      </w:r>
      <w:r w:rsidR="005B7F71">
        <w:t xml:space="preserve">Report Concerning </w:t>
      </w:r>
      <w:r>
        <w:t xml:space="preserve">Space Data System Standards (Green Book) </w:t>
      </w:r>
      <w:r w:rsidRPr="00970D3B">
        <w:t>CCSDS 350.0-G-2. Washington, D.C</w:t>
      </w:r>
      <w:r>
        <w:t xml:space="preserve">.: CCSDS, </w:t>
      </w:r>
      <w:r w:rsidRPr="00970D3B">
        <w:t>January 2006</w:t>
      </w:r>
    </w:p>
    <w:bookmarkEnd w:id="194"/>
    <w:p w14:paraId="3330EDA2" w14:textId="77777777" w:rsidR="007F25AB" w:rsidRDefault="007F25AB">
      <w:pPr>
        <w:pStyle w:val="Heading8"/>
        <w:sectPr w:rsidR="007F25AB" w:rsidSect="00A32DEB">
          <w:type w:val="continuous"/>
          <w:pgSz w:w="12240" w:h="15840"/>
          <w:pgMar w:top="1440" w:right="1440" w:bottom="1440" w:left="1440" w:header="547" w:footer="547" w:gutter="360"/>
          <w:pgNumType w:start="1" w:chapStyle="8"/>
          <w:cols w:space="720"/>
          <w:docGrid w:linePitch="360"/>
        </w:sectPr>
      </w:pPr>
    </w:p>
    <w:p w14:paraId="583BCA04" w14:textId="6F29D72E" w:rsidR="00332FF3" w:rsidRDefault="00332FF3">
      <w:pPr>
        <w:pStyle w:val="Heading8"/>
      </w:pPr>
      <w:r>
        <w:lastRenderedPageBreak/>
        <w:br/>
      </w:r>
      <w:r>
        <w:br/>
      </w:r>
      <w:bookmarkStart w:id="197" w:name="_Toc39246860"/>
      <w:proofErr w:type="gramStart"/>
      <w:r>
        <w:t>Abbreviations</w:t>
      </w:r>
      <w:proofErr w:type="gramEnd"/>
      <w:r>
        <w:br/>
      </w:r>
      <w:r>
        <w:br/>
        <w:t>(Informative)</w:t>
      </w:r>
      <w:bookmarkEnd w:id="197"/>
    </w:p>
    <w:p w14:paraId="08C1EBC6" w14:textId="77777777" w:rsidR="00332FF3" w:rsidRDefault="00332FF3" w:rsidP="00332FF3">
      <w:pPr>
        <w:ind w:left="990" w:hanging="990"/>
      </w:pPr>
      <w:r w:rsidRPr="00893931">
        <w:rPr>
          <w:u w:val="single"/>
        </w:rPr>
        <w:t>Term</w:t>
      </w:r>
      <w:r>
        <w:tab/>
      </w:r>
      <w:r w:rsidRPr="00893931">
        <w:rPr>
          <w:u w:val="single"/>
        </w:rPr>
        <w:t>Meaning</w:t>
      </w:r>
    </w:p>
    <w:p w14:paraId="127EC920" w14:textId="397D611B" w:rsidR="00332FF3" w:rsidRDefault="00332FF3" w:rsidP="00332FF3">
      <w:pPr>
        <w:spacing w:before="120"/>
        <w:ind w:left="990" w:hanging="990"/>
      </w:pPr>
      <w:r w:rsidRPr="001B79CE">
        <w:t>BCB</w:t>
      </w:r>
      <w:r>
        <w:tab/>
      </w:r>
      <w:r w:rsidRPr="001B79CE">
        <w:t>B</w:t>
      </w:r>
      <w:r w:rsidR="00642F27">
        <w:t>lock</w:t>
      </w:r>
      <w:r w:rsidRPr="001B79CE">
        <w:t xml:space="preserve"> confidentiality block</w:t>
      </w:r>
    </w:p>
    <w:p w14:paraId="24F67AF6" w14:textId="77777777" w:rsidR="00332FF3" w:rsidRDefault="00332FF3" w:rsidP="00332FF3">
      <w:pPr>
        <w:spacing w:before="120"/>
        <w:ind w:left="990" w:hanging="990"/>
      </w:pPr>
      <w:r>
        <w:t>BER</w:t>
      </w:r>
      <w:r>
        <w:tab/>
        <w:t>Basic Encoding Rules</w:t>
      </w:r>
    </w:p>
    <w:p w14:paraId="1ED7FAE6" w14:textId="1A031191" w:rsidR="00332FF3" w:rsidRDefault="00332FF3" w:rsidP="00332FF3">
      <w:pPr>
        <w:spacing w:before="120"/>
        <w:ind w:left="990" w:hanging="990"/>
      </w:pPr>
      <w:r w:rsidRPr="001B79CE">
        <w:t>BIB</w:t>
      </w:r>
      <w:r>
        <w:tab/>
      </w:r>
      <w:r w:rsidRPr="001B79CE">
        <w:t>B</w:t>
      </w:r>
      <w:r w:rsidR="00642F27">
        <w:t>lock</w:t>
      </w:r>
      <w:r w:rsidRPr="001B79CE">
        <w:t xml:space="preserve"> integrity block</w:t>
      </w:r>
    </w:p>
    <w:p w14:paraId="5EC100A0" w14:textId="77777777" w:rsidR="00332FF3" w:rsidRDefault="00332FF3" w:rsidP="00332FF3">
      <w:pPr>
        <w:spacing w:before="120"/>
        <w:ind w:left="990" w:hanging="990"/>
      </w:pPr>
      <w:r w:rsidRPr="00FE22C6">
        <w:t>BP</w:t>
      </w:r>
      <w:r>
        <w:tab/>
      </w:r>
      <w:r w:rsidRPr="00FE22C6">
        <w:t>Bundle Protocol</w:t>
      </w:r>
    </w:p>
    <w:p w14:paraId="2D41E75F" w14:textId="77777777" w:rsidR="00332FF3" w:rsidRDefault="00332FF3" w:rsidP="00332FF3">
      <w:pPr>
        <w:spacing w:before="120"/>
        <w:ind w:left="990" w:hanging="990"/>
      </w:pPr>
      <w:r w:rsidRPr="0070395E">
        <w:t>BPA</w:t>
      </w:r>
      <w:r>
        <w:tab/>
      </w:r>
      <w:r w:rsidRPr="0070395E">
        <w:t>Bundle Protocol agent</w:t>
      </w:r>
    </w:p>
    <w:p w14:paraId="5455FAE8" w14:textId="77777777" w:rsidR="00332FF3" w:rsidRDefault="00332FF3" w:rsidP="00332FF3">
      <w:pPr>
        <w:spacing w:before="120"/>
        <w:ind w:left="990" w:hanging="990"/>
      </w:pPr>
      <w:r>
        <w:t>CBF</w:t>
      </w:r>
      <w:r>
        <w:tab/>
      </w:r>
      <w:r w:rsidRPr="001B79CE">
        <w:t xml:space="preserve">Canonical Bundle Block Format </w:t>
      </w:r>
    </w:p>
    <w:p w14:paraId="0187767E" w14:textId="77777777" w:rsidR="00332FF3" w:rsidRPr="00521B4C" w:rsidRDefault="00332FF3" w:rsidP="00332FF3">
      <w:pPr>
        <w:spacing w:before="120"/>
        <w:ind w:left="990" w:hanging="990"/>
      </w:pPr>
      <w:r w:rsidRPr="00561C3E">
        <w:t>CMS</w:t>
      </w:r>
      <w:r>
        <w:tab/>
      </w:r>
      <w:r w:rsidRPr="00561C3E">
        <w:t>cryptographic message syntax</w:t>
      </w:r>
    </w:p>
    <w:p w14:paraId="44D97BF1" w14:textId="77777777" w:rsidR="00332FF3" w:rsidRDefault="00332FF3" w:rsidP="00332FF3">
      <w:pPr>
        <w:spacing w:before="120"/>
        <w:ind w:left="990" w:hanging="990"/>
      </w:pPr>
      <w:r w:rsidRPr="00EE51EC">
        <w:t>COS</w:t>
      </w:r>
      <w:r>
        <w:tab/>
      </w:r>
      <w:r w:rsidRPr="00EE51EC">
        <w:t>class</w:t>
      </w:r>
      <w:r>
        <w:t xml:space="preserve"> </w:t>
      </w:r>
      <w:r w:rsidRPr="00EE51EC">
        <w:t>of</w:t>
      </w:r>
      <w:r>
        <w:t xml:space="preserve"> </w:t>
      </w:r>
      <w:r w:rsidRPr="00EE51EC">
        <w:t>service</w:t>
      </w:r>
    </w:p>
    <w:p w14:paraId="6674A0EB" w14:textId="77777777" w:rsidR="00332FF3" w:rsidRDefault="00332FF3" w:rsidP="00332FF3">
      <w:pPr>
        <w:spacing w:before="120"/>
        <w:ind w:left="990" w:hanging="990"/>
      </w:pPr>
      <w:r>
        <w:t>DER</w:t>
      </w:r>
      <w:r>
        <w:tab/>
        <w:t>Distinguished Encoding Rules</w:t>
      </w:r>
    </w:p>
    <w:p w14:paraId="234E50E8" w14:textId="77777777" w:rsidR="00F61289" w:rsidRDefault="00F61289" w:rsidP="00332FF3">
      <w:pPr>
        <w:spacing w:before="120"/>
        <w:ind w:left="990" w:hanging="990"/>
      </w:pPr>
      <w:r w:rsidRPr="00F61289">
        <w:t>DTN</w:t>
      </w:r>
      <w:r>
        <w:tab/>
      </w:r>
      <w:r w:rsidRPr="00F61289">
        <w:t>Delay-Tolerant Networking</w:t>
      </w:r>
    </w:p>
    <w:p w14:paraId="0E829F96" w14:textId="77777777" w:rsidR="00332FF3" w:rsidRDefault="00332FF3" w:rsidP="00332FF3">
      <w:pPr>
        <w:spacing w:before="120"/>
        <w:ind w:left="990" w:hanging="990"/>
      </w:pPr>
      <w:r w:rsidRPr="001B79CE">
        <w:t>EID</w:t>
      </w:r>
      <w:r>
        <w:tab/>
        <w:t>endpoint identifier</w:t>
      </w:r>
    </w:p>
    <w:p w14:paraId="44310606" w14:textId="77777777" w:rsidR="00332FF3" w:rsidRDefault="00332FF3" w:rsidP="00332FF3">
      <w:pPr>
        <w:spacing w:before="120"/>
        <w:ind w:left="990" w:hanging="990"/>
      </w:pPr>
      <w:r w:rsidRPr="00A65AAB">
        <w:t>GSBS</w:t>
      </w:r>
      <w:r>
        <w:tab/>
      </w:r>
      <w:r w:rsidRPr="00A65AAB">
        <w:t>generic security block structure</w:t>
      </w:r>
    </w:p>
    <w:p w14:paraId="27C0E76D" w14:textId="77777777" w:rsidR="00332FF3" w:rsidRDefault="00332FF3" w:rsidP="00332FF3">
      <w:pPr>
        <w:spacing w:before="120"/>
        <w:ind w:left="990" w:hanging="990"/>
      </w:pPr>
      <w:r w:rsidRPr="00561C3E">
        <w:t>HTTP</w:t>
      </w:r>
      <w:r>
        <w:tab/>
      </w:r>
      <w:r w:rsidRPr="00047575">
        <w:t>Hypertext Transfer Protocol</w:t>
      </w:r>
    </w:p>
    <w:p w14:paraId="2E7B12DF" w14:textId="77777777" w:rsidR="00332FF3" w:rsidRDefault="00332FF3" w:rsidP="00332FF3">
      <w:pPr>
        <w:spacing w:before="120"/>
        <w:ind w:left="990" w:hanging="990"/>
      </w:pPr>
      <w:r w:rsidRPr="0070395E">
        <w:t>ICV</w:t>
      </w:r>
      <w:r>
        <w:tab/>
      </w:r>
      <w:r w:rsidRPr="0070395E">
        <w:t>integrity check value</w:t>
      </w:r>
    </w:p>
    <w:p w14:paraId="428FB96C" w14:textId="77777777" w:rsidR="00332FF3" w:rsidRDefault="00332FF3" w:rsidP="00332FF3">
      <w:pPr>
        <w:spacing w:before="120"/>
        <w:ind w:left="990" w:hanging="990"/>
      </w:pPr>
      <w:r w:rsidRPr="001B79CE">
        <w:t>IETF</w:t>
      </w:r>
      <w:r>
        <w:tab/>
      </w:r>
      <w:r w:rsidRPr="00111E0A">
        <w:t>Internet Engineering Task Force</w:t>
      </w:r>
    </w:p>
    <w:p w14:paraId="1EC937DB" w14:textId="77777777" w:rsidR="00332FF3" w:rsidRDefault="00332FF3" w:rsidP="00332FF3">
      <w:pPr>
        <w:spacing w:before="120"/>
        <w:ind w:left="990" w:hanging="990"/>
      </w:pPr>
      <w:r w:rsidRPr="00561C3E">
        <w:t>IRI</w:t>
      </w:r>
      <w:r>
        <w:tab/>
      </w:r>
      <w:r w:rsidRPr="00047575">
        <w:t>Internationalized Resource Identifier</w:t>
      </w:r>
    </w:p>
    <w:p w14:paraId="28709B4F" w14:textId="77777777" w:rsidR="00332FF3" w:rsidRDefault="00332FF3" w:rsidP="00332FF3">
      <w:pPr>
        <w:spacing w:before="120"/>
        <w:ind w:left="990" w:hanging="990"/>
      </w:pPr>
      <w:r w:rsidRPr="001B79CE">
        <w:t>IV</w:t>
      </w:r>
      <w:r>
        <w:tab/>
      </w:r>
      <w:r w:rsidRPr="001B79CE">
        <w:t>initialization vector</w:t>
      </w:r>
    </w:p>
    <w:p w14:paraId="0302FBDF" w14:textId="77777777" w:rsidR="00332FF3" w:rsidRDefault="00332FF3" w:rsidP="00332FF3">
      <w:pPr>
        <w:spacing w:before="120"/>
        <w:ind w:left="990" w:hanging="990"/>
      </w:pPr>
      <w:r w:rsidRPr="005E4DCD">
        <w:t>MITM</w:t>
      </w:r>
      <w:r>
        <w:tab/>
      </w:r>
      <w:r w:rsidRPr="005E4DCD">
        <w:t>man</w:t>
      </w:r>
      <w:r>
        <w:t xml:space="preserve"> </w:t>
      </w:r>
      <w:r w:rsidRPr="005E4DCD">
        <w:t>in</w:t>
      </w:r>
      <w:r>
        <w:t xml:space="preserve"> </w:t>
      </w:r>
      <w:r w:rsidRPr="005E4DCD">
        <w:t>the</w:t>
      </w:r>
      <w:r>
        <w:t xml:space="preserve"> </w:t>
      </w:r>
      <w:r w:rsidRPr="005E4DCD">
        <w:t>middle</w:t>
      </w:r>
    </w:p>
    <w:p w14:paraId="24854925" w14:textId="77777777" w:rsidR="00332FF3" w:rsidRDefault="00332FF3" w:rsidP="00332FF3">
      <w:pPr>
        <w:spacing w:before="120"/>
        <w:ind w:left="990" w:hanging="990"/>
      </w:pPr>
      <w:r w:rsidRPr="00047575">
        <w:t>RFC</w:t>
      </w:r>
      <w:r>
        <w:tab/>
        <w:t>Request for Comments</w:t>
      </w:r>
    </w:p>
    <w:p w14:paraId="2853CD96" w14:textId="77777777" w:rsidR="00332FF3" w:rsidRDefault="00332FF3" w:rsidP="00332FF3">
      <w:pPr>
        <w:spacing w:before="120"/>
        <w:ind w:left="990" w:hanging="990"/>
      </w:pPr>
      <w:r>
        <w:t>RL</w:t>
      </w:r>
      <w:r>
        <w:tab/>
        <w:t>requirements list</w:t>
      </w:r>
    </w:p>
    <w:p w14:paraId="3202C65D" w14:textId="77777777" w:rsidR="00332FF3" w:rsidRDefault="00332FF3" w:rsidP="00332FF3">
      <w:pPr>
        <w:spacing w:before="120"/>
        <w:ind w:left="990" w:hanging="990"/>
      </w:pPr>
      <w:r w:rsidRPr="00FE22C6">
        <w:t>SBSP</w:t>
      </w:r>
      <w:r>
        <w:tab/>
      </w:r>
      <w:r w:rsidRPr="00FE22C6">
        <w:t>Streamlined Bundle Security Protocol</w:t>
      </w:r>
    </w:p>
    <w:p w14:paraId="2F80B394" w14:textId="77777777" w:rsidR="00332FF3" w:rsidRDefault="00332FF3" w:rsidP="00332FF3">
      <w:pPr>
        <w:spacing w:before="120"/>
        <w:ind w:left="990" w:hanging="990"/>
      </w:pPr>
      <w:r w:rsidRPr="00A65AAB">
        <w:t>SDNV</w:t>
      </w:r>
      <w:r>
        <w:tab/>
      </w:r>
      <w:r w:rsidRPr="00A65AAB">
        <w:t>self-delimiting numeric value</w:t>
      </w:r>
    </w:p>
    <w:p w14:paraId="77760DC7" w14:textId="77777777" w:rsidR="00332FF3" w:rsidRDefault="00332FF3" w:rsidP="00332FF3">
      <w:pPr>
        <w:spacing w:before="120"/>
        <w:ind w:left="990" w:hanging="990"/>
      </w:pPr>
      <w:r w:rsidRPr="00EE51EC">
        <w:t>SRR</w:t>
      </w:r>
      <w:r>
        <w:tab/>
      </w:r>
      <w:r w:rsidRPr="00EE51EC">
        <w:t>status report request</w:t>
      </w:r>
    </w:p>
    <w:p w14:paraId="06FB8368" w14:textId="77777777" w:rsidR="00332FF3" w:rsidRDefault="00332FF3" w:rsidP="00332FF3">
      <w:pPr>
        <w:spacing w:before="120"/>
        <w:ind w:left="990" w:hanging="990"/>
      </w:pPr>
      <w:r w:rsidRPr="00DF152B">
        <w:t>SSP</w:t>
      </w:r>
      <w:r>
        <w:tab/>
      </w:r>
      <w:r w:rsidRPr="00DF152B">
        <w:t>scheme</w:t>
      </w:r>
      <w:r>
        <w:t>-</w:t>
      </w:r>
      <w:r w:rsidRPr="00DF152B">
        <w:t>specific part</w:t>
      </w:r>
    </w:p>
    <w:p w14:paraId="79ECE6D9" w14:textId="77777777" w:rsidR="00332FF3" w:rsidRDefault="00332FF3" w:rsidP="00332FF3">
      <w:pPr>
        <w:spacing w:before="120"/>
        <w:ind w:left="990" w:hanging="990"/>
      </w:pPr>
      <w:r w:rsidRPr="0070395E">
        <w:t>TLV</w:t>
      </w:r>
      <w:r>
        <w:tab/>
      </w:r>
      <w:r w:rsidRPr="0070395E">
        <w:t>type-length-value</w:t>
      </w:r>
    </w:p>
    <w:p w14:paraId="10610A45" w14:textId="77777777" w:rsidR="00332FF3" w:rsidRDefault="00332FF3" w:rsidP="00332FF3">
      <w:pPr>
        <w:spacing w:before="120"/>
        <w:ind w:left="990" w:hanging="990"/>
      </w:pPr>
      <w:r w:rsidRPr="001B79CE">
        <w:t>URI</w:t>
      </w:r>
      <w:r>
        <w:tab/>
      </w:r>
      <w:r w:rsidRPr="0070395E">
        <w:t>Uniform Resource Identifier</w:t>
      </w:r>
    </w:p>
    <w:p w14:paraId="75D3C138" w14:textId="77777777" w:rsidR="00A7387C" w:rsidRDefault="00332FF3" w:rsidP="00BC32F7">
      <w:pPr>
        <w:spacing w:before="120"/>
        <w:ind w:left="990" w:hanging="990"/>
      </w:pPr>
      <w:r w:rsidRPr="00561C3E">
        <w:t>URL</w:t>
      </w:r>
      <w:r>
        <w:tab/>
      </w:r>
      <w:r w:rsidRPr="00047575">
        <w:t>Uniform Resource Locator</w:t>
      </w:r>
    </w:p>
    <w:p w14:paraId="06633760" w14:textId="77777777" w:rsidR="007F25AB" w:rsidRDefault="007F25AB">
      <w:pPr>
        <w:pStyle w:val="Heading8"/>
        <w:sectPr w:rsidR="007F25AB" w:rsidSect="00A32DEB">
          <w:type w:val="continuous"/>
          <w:pgSz w:w="12240" w:h="15840"/>
          <w:pgMar w:top="1440" w:right="1440" w:bottom="1440" w:left="1440" w:header="547" w:footer="547" w:gutter="360"/>
          <w:pgNumType w:start="1" w:chapStyle="8"/>
          <w:cols w:space="720"/>
          <w:docGrid w:linePitch="360"/>
        </w:sectPr>
      </w:pPr>
    </w:p>
    <w:p w14:paraId="57A87E79" w14:textId="544C18E0" w:rsidR="006F65B0" w:rsidRDefault="006F65B0" w:rsidP="005278C3">
      <w:pPr>
        <w:pStyle w:val="Heading8"/>
      </w:pPr>
      <w:r>
        <w:lastRenderedPageBreak/>
        <w:br/>
      </w:r>
      <w:r>
        <w:br/>
      </w:r>
      <w:bookmarkStart w:id="198" w:name="_Toc39246861"/>
      <w:r>
        <w:t xml:space="preserve">Baseline </w:t>
      </w:r>
      <w:proofErr w:type="gramStart"/>
      <w:r>
        <w:t>Mode</w:t>
      </w:r>
      <w:proofErr w:type="gramEnd"/>
      <w:r>
        <w:br/>
      </w:r>
      <w:r>
        <w:br/>
        <w:t>(</w:t>
      </w:r>
      <w:commentRangeStart w:id="199"/>
      <w:r>
        <w:t>Informative</w:t>
      </w:r>
      <w:commentRangeEnd w:id="199"/>
      <w:r>
        <w:rPr>
          <w:rStyle w:val="CommentReference"/>
          <w:b w:val="0"/>
          <w:iCs w:val="0"/>
          <w:caps w:val="0"/>
        </w:rPr>
        <w:commentReference w:id="199"/>
      </w:r>
      <w:r>
        <w:t>)</w:t>
      </w:r>
      <w:bookmarkEnd w:id="198"/>
    </w:p>
    <w:p w14:paraId="3826B2FC" w14:textId="0EE9FDC1" w:rsidR="00DB1A86" w:rsidRDefault="00DB1A86" w:rsidP="00DB1A86"/>
    <w:p w14:paraId="68CC250C" w14:textId="77777777" w:rsidR="00A86AB6" w:rsidRDefault="00A86AB6" w:rsidP="00A86AB6">
      <w:pPr>
        <w:pStyle w:val="Annex2"/>
      </w:pPr>
      <w:r>
        <w:t>OVERVIEW</w:t>
      </w:r>
    </w:p>
    <w:p w14:paraId="5A2501C6" w14:textId="77777777" w:rsidR="00F83B9A" w:rsidRDefault="00F83B9A" w:rsidP="00394053">
      <w:pPr>
        <w:rPr>
          <w:b/>
        </w:rPr>
      </w:pPr>
    </w:p>
    <w:p w14:paraId="79465073" w14:textId="4EEA59E0" w:rsidR="00F83B9A" w:rsidRDefault="00F83B9A" w:rsidP="00394053">
      <w:pPr>
        <w:jc w:val="both"/>
      </w:pPr>
      <w:r w:rsidRPr="00E51114">
        <w:t xml:space="preserve">This baseline implementation is specified to ensure interoperability and to allow representative interoperability testing. The baseline is intended to provide implementers with a standard way to implement the SBSP that can still be modified to accommodate individual missions. </w:t>
      </w:r>
    </w:p>
    <w:p w14:paraId="1CC3E26F" w14:textId="5766C0F0" w:rsidR="00F83B9A" w:rsidRDefault="00A371E4" w:rsidP="00394053">
      <w:pPr>
        <w:pStyle w:val="Annex3"/>
      </w:pPr>
      <w:r>
        <w:t>Algorithms</w:t>
      </w:r>
    </w:p>
    <w:p w14:paraId="113C4112" w14:textId="6EDEC5F0" w:rsidR="00A371E4" w:rsidRDefault="00A371E4" w:rsidP="00394053">
      <w:pPr>
        <w:pStyle w:val="Annex4"/>
      </w:pPr>
      <w:bookmarkStart w:id="200" w:name="_Ref39244343"/>
      <w:r>
        <w:t>Confidentiality</w:t>
      </w:r>
      <w:bookmarkEnd w:id="200"/>
    </w:p>
    <w:p w14:paraId="38BEAC64" w14:textId="77777777" w:rsidR="00A371E4" w:rsidRDefault="00A371E4" w:rsidP="00394053">
      <w:pPr>
        <w:rPr>
          <w:b/>
        </w:rPr>
      </w:pPr>
    </w:p>
    <w:p w14:paraId="0719DA5C" w14:textId="77777777" w:rsidR="00A371E4" w:rsidRDefault="00A371E4" w:rsidP="00A371E4">
      <w:pPr>
        <w:jc w:val="both"/>
      </w:pPr>
      <w:r>
        <w:t xml:space="preserve">The baseline implementation to be used for interoperability testing of confidentiality is authenticated encryption over the target block’s block-type-specific data, using the Advanced Encryption Standard (AES) algorithm in Galois/Counter Mode (GCM). In addition: </w:t>
      </w:r>
    </w:p>
    <w:p w14:paraId="05DAACBB" w14:textId="77777777" w:rsidR="00A371E4" w:rsidRDefault="00A371E4" w:rsidP="00C818EF">
      <w:pPr>
        <w:pStyle w:val="ListParagraph"/>
        <w:numPr>
          <w:ilvl w:val="0"/>
          <w:numId w:val="16"/>
        </w:numPr>
        <w:pPrChange w:id="201" w:author="Birrane, Edward J." w:date="2020-05-01T17:51:00Z">
          <w:pPr>
            <w:pStyle w:val="ListParagraph"/>
            <w:numPr>
              <w:numId w:val="65"/>
            </w:numPr>
            <w:tabs>
              <w:tab w:val="num" w:pos="360"/>
            </w:tabs>
          </w:pPr>
        </w:pPrChange>
      </w:pPr>
      <w:r>
        <w:t>the key is 256 bits in total length;</w:t>
      </w:r>
    </w:p>
    <w:p w14:paraId="312122FA" w14:textId="77777777" w:rsidR="00A371E4" w:rsidRDefault="00A371E4" w:rsidP="00C818EF">
      <w:pPr>
        <w:pStyle w:val="ListParagraph"/>
        <w:numPr>
          <w:ilvl w:val="0"/>
          <w:numId w:val="16"/>
        </w:numPr>
        <w:pPrChange w:id="202" w:author="Birrane, Edward J." w:date="2020-05-01T17:51:00Z">
          <w:pPr>
            <w:pStyle w:val="ListParagraph"/>
            <w:numPr>
              <w:numId w:val="65"/>
            </w:numPr>
            <w:tabs>
              <w:tab w:val="num" w:pos="360"/>
            </w:tabs>
          </w:pPr>
        </w:pPrChange>
      </w:pPr>
      <w:r>
        <w:t xml:space="preserve">the key is symmetric; </w:t>
      </w:r>
    </w:p>
    <w:p w14:paraId="5F47AEA1" w14:textId="77777777" w:rsidR="00A371E4" w:rsidRDefault="00A371E4" w:rsidP="00C818EF">
      <w:pPr>
        <w:pStyle w:val="ListParagraph"/>
        <w:numPr>
          <w:ilvl w:val="0"/>
          <w:numId w:val="16"/>
        </w:numPr>
        <w:pPrChange w:id="203" w:author="Birrane, Edward J." w:date="2020-05-01T17:51:00Z">
          <w:pPr>
            <w:pStyle w:val="ListParagraph"/>
            <w:numPr>
              <w:numId w:val="65"/>
            </w:numPr>
            <w:tabs>
              <w:tab w:val="num" w:pos="360"/>
            </w:tabs>
          </w:pPr>
        </w:pPrChange>
      </w:pPr>
      <w:r>
        <w:t>the initialization vector is between 8-16 bytes, with 12 bytes being the recommended length;</w:t>
      </w:r>
    </w:p>
    <w:p w14:paraId="5C034036" w14:textId="77777777" w:rsidR="00A371E4" w:rsidRDefault="00A371E4" w:rsidP="00C818EF">
      <w:pPr>
        <w:pStyle w:val="ListParagraph"/>
        <w:numPr>
          <w:ilvl w:val="0"/>
          <w:numId w:val="16"/>
        </w:numPr>
        <w:pPrChange w:id="204" w:author="Birrane, Edward J." w:date="2020-05-01T17:51:00Z">
          <w:pPr>
            <w:pStyle w:val="ListParagraph"/>
            <w:numPr>
              <w:numId w:val="65"/>
            </w:numPr>
            <w:tabs>
              <w:tab w:val="num" w:pos="360"/>
            </w:tabs>
          </w:pPr>
        </w:pPrChange>
      </w:pPr>
      <w:proofErr w:type="gramStart"/>
      <w:r>
        <w:t>the</w:t>
      </w:r>
      <w:proofErr w:type="gramEnd"/>
      <w:r>
        <w:t xml:space="preserve"> output MAC is 16 bytes in total length.</w:t>
      </w:r>
    </w:p>
    <w:p w14:paraId="77FBF031" w14:textId="77777777" w:rsidR="00A371E4" w:rsidRDefault="00A371E4" w:rsidP="00394053">
      <w:pPr>
        <w:rPr>
          <w:b/>
        </w:rPr>
      </w:pPr>
    </w:p>
    <w:p w14:paraId="00AC0B80" w14:textId="3CBE5AC2" w:rsidR="00A371E4" w:rsidRDefault="00A371E4" w:rsidP="00394053">
      <w:pPr>
        <w:pStyle w:val="Annex4"/>
      </w:pPr>
      <w:bookmarkStart w:id="205" w:name="_Ref39244580"/>
      <w:r>
        <w:t>Integrity</w:t>
      </w:r>
      <w:bookmarkEnd w:id="205"/>
    </w:p>
    <w:p w14:paraId="431933DF" w14:textId="77777777" w:rsidR="00A371E4" w:rsidRDefault="00A371E4" w:rsidP="00A371E4">
      <w:pPr>
        <w:jc w:val="both"/>
      </w:pPr>
    </w:p>
    <w:p w14:paraId="68BD1EBE" w14:textId="29D3F2E0" w:rsidR="00A371E4" w:rsidRDefault="00A371E4" w:rsidP="00A371E4">
      <w:pPr>
        <w:jc w:val="both"/>
      </w:pPr>
      <w:r>
        <w:t xml:space="preserve">The baseline implementation to be used for interoperability testing of integrity is a keyed hash over the target block’s block-type-specific data, using the Secure Hash Algorithm (SHA) combined with the keyed hash message authentication code (HMAC). In addition: </w:t>
      </w:r>
    </w:p>
    <w:p w14:paraId="3A514587" w14:textId="77777777" w:rsidR="00A371E4" w:rsidRDefault="00A371E4" w:rsidP="00C818EF">
      <w:pPr>
        <w:pStyle w:val="ListParagraph"/>
        <w:numPr>
          <w:ilvl w:val="0"/>
          <w:numId w:val="17"/>
        </w:numPr>
        <w:pPrChange w:id="206" w:author="Birrane, Edward J." w:date="2020-05-01T17:51:00Z">
          <w:pPr>
            <w:pStyle w:val="ListParagraph"/>
            <w:numPr>
              <w:numId w:val="67"/>
            </w:numPr>
            <w:tabs>
              <w:tab w:val="num" w:pos="360"/>
            </w:tabs>
          </w:pPr>
        </w:pPrChange>
      </w:pPr>
      <w:r>
        <w:t>the key is 256 bits in total length;</w:t>
      </w:r>
    </w:p>
    <w:p w14:paraId="5AE51219" w14:textId="77777777" w:rsidR="00A371E4" w:rsidRDefault="00A371E4" w:rsidP="00C818EF">
      <w:pPr>
        <w:pStyle w:val="ListParagraph"/>
        <w:numPr>
          <w:ilvl w:val="0"/>
          <w:numId w:val="17"/>
        </w:numPr>
        <w:pPrChange w:id="207" w:author="Birrane, Edward J." w:date="2020-05-01T17:51:00Z">
          <w:pPr>
            <w:pStyle w:val="ListParagraph"/>
            <w:numPr>
              <w:numId w:val="67"/>
            </w:numPr>
            <w:tabs>
              <w:tab w:val="num" w:pos="360"/>
            </w:tabs>
          </w:pPr>
        </w:pPrChange>
      </w:pPr>
      <w:r>
        <w:t>the key is symmetric;</w:t>
      </w:r>
    </w:p>
    <w:p w14:paraId="20F442EB" w14:textId="77777777" w:rsidR="00A371E4" w:rsidRDefault="00A371E4" w:rsidP="00C818EF">
      <w:pPr>
        <w:pStyle w:val="ListParagraph"/>
        <w:numPr>
          <w:ilvl w:val="0"/>
          <w:numId w:val="17"/>
        </w:numPr>
        <w:pPrChange w:id="208" w:author="Birrane, Edward J." w:date="2020-05-01T17:51:00Z">
          <w:pPr>
            <w:pStyle w:val="ListParagraph"/>
            <w:numPr>
              <w:numId w:val="67"/>
            </w:numPr>
            <w:tabs>
              <w:tab w:val="num" w:pos="360"/>
            </w:tabs>
          </w:pPr>
        </w:pPrChange>
      </w:pPr>
      <w:r>
        <w:t>the truncation length is 256 bits;</w:t>
      </w:r>
    </w:p>
    <w:p w14:paraId="55B7F22F" w14:textId="77777777" w:rsidR="00A371E4" w:rsidRDefault="00A371E4" w:rsidP="00C818EF">
      <w:pPr>
        <w:pStyle w:val="ListParagraph"/>
        <w:numPr>
          <w:ilvl w:val="0"/>
          <w:numId w:val="17"/>
        </w:numPr>
        <w:pPrChange w:id="209" w:author="Birrane, Edward J." w:date="2020-05-01T17:51:00Z">
          <w:pPr>
            <w:pStyle w:val="ListParagraph"/>
            <w:numPr>
              <w:numId w:val="67"/>
            </w:numPr>
            <w:tabs>
              <w:tab w:val="num" w:pos="360"/>
            </w:tabs>
          </w:pPr>
        </w:pPrChange>
      </w:pPr>
      <w:proofErr w:type="gramStart"/>
      <w:r>
        <w:t>the</w:t>
      </w:r>
      <w:proofErr w:type="gramEnd"/>
      <w:r>
        <w:t xml:space="preserve"> output MAC is 256 bits in total length.</w:t>
      </w:r>
    </w:p>
    <w:p w14:paraId="6DAC9D90" w14:textId="77777777" w:rsidR="00A371E4" w:rsidRPr="00394053" w:rsidRDefault="00A371E4" w:rsidP="00394053"/>
    <w:p w14:paraId="6341EE50" w14:textId="21FBF282" w:rsidR="00A371E4" w:rsidRDefault="00F37023" w:rsidP="00394053">
      <w:pPr>
        <w:pStyle w:val="Annex3"/>
      </w:pPr>
      <w:r>
        <w:t>Key Information</w:t>
      </w:r>
    </w:p>
    <w:p w14:paraId="49B8473C" w14:textId="6B12E216" w:rsidR="00F37023" w:rsidRDefault="00F37023" w:rsidP="00394053">
      <w:pPr>
        <w:pStyle w:val="Annex4"/>
      </w:pPr>
      <w:r>
        <w:t>Confidentiality</w:t>
      </w:r>
    </w:p>
    <w:p w14:paraId="5E7CC130" w14:textId="77777777" w:rsidR="000172FE" w:rsidRDefault="000172FE" w:rsidP="000172FE"/>
    <w:p w14:paraId="08348ABD" w14:textId="35AA39EB" w:rsidR="000172FE" w:rsidRDefault="000172FE" w:rsidP="00394053">
      <w:pPr>
        <w:jc w:val="both"/>
      </w:pPr>
      <w:r w:rsidRPr="00465D15">
        <w:t xml:space="preserve">The baseline implementation uses a symmetric key of 256 bits in length. </w:t>
      </w:r>
    </w:p>
    <w:p w14:paraId="62BB2BCE" w14:textId="77777777" w:rsidR="000172FE" w:rsidRPr="001B79CE" w:rsidRDefault="000172FE" w:rsidP="000172FE">
      <w:pPr>
        <w:pStyle w:val="Notelevel1"/>
        <w:keepNext/>
      </w:pPr>
      <w:r w:rsidRPr="001B79CE">
        <w:lastRenderedPageBreak/>
        <w:t>NOTES</w:t>
      </w:r>
    </w:p>
    <w:p w14:paraId="418C720D" w14:textId="77777777" w:rsidR="000172FE" w:rsidRPr="001B79CE" w:rsidRDefault="000172FE" w:rsidP="00C818EF">
      <w:pPr>
        <w:pStyle w:val="Noteslevel1"/>
        <w:numPr>
          <w:ilvl w:val="0"/>
          <w:numId w:val="18"/>
        </w:numPr>
        <w:pPrChange w:id="210" w:author="Birrane, Edward J." w:date="2020-05-01T17:51:00Z">
          <w:pPr>
            <w:pStyle w:val="Noteslevel1"/>
            <w:numPr>
              <w:numId w:val="74"/>
            </w:numPr>
            <w:tabs>
              <w:tab w:val="num" w:pos="360"/>
            </w:tabs>
          </w:pPr>
        </w:pPrChange>
      </w:pPr>
      <w:r>
        <w:t>It is assumed that the decrypting node knows the symmetric key used for encryption.</w:t>
      </w:r>
    </w:p>
    <w:p w14:paraId="44002BFF" w14:textId="77777777" w:rsidR="000172FE" w:rsidRPr="00394053" w:rsidRDefault="000172FE" w:rsidP="00C818EF">
      <w:pPr>
        <w:pStyle w:val="Noteslevel1"/>
        <w:numPr>
          <w:ilvl w:val="0"/>
          <w:numId w:val="18"/>
        </w:numPr>
        <w:pPrChange w:id="211" w:author="Birrane, Edward J." w:date="2020-05-01T17:51:00Z">
          <w:pPr>
            <w:pStyle w:val="Noteslevel1"/>
            <w:numPr>
              <w:numId w:val="74"/>
            </w:numPr>
            <w:tabs>
              <w:tab w:val="num" w:pos="360"/>
            </w:tabs>
          </w:pPr>
        </w:pPrChange>
      </w:pPr>
      <w:r w:rsidRPr="00394053">
        <w:t>The configuration, storage, and exchange of keys are outside the scope of this recommendation.</w:t>
      </w:r>
    </w:p>
    <w:p w14:paraId="4E7854BC" w14:textId="77777777" w:rsidR="00F37023" w:rsidRPr="00394053" w:rsidRDefault="00F37023" w:rsidP="00394053"/>
    <w:p w14:paraId="7C6FA370" w14:textId="67D3231D" w:rsidR="00024639" w:rsidRDefault="00024639" w:rsidP="00024639">
      <w:pPr>
        <w:pStyle w:val="Annex4"/>
      </w:pPr>
      <w:r>
        <w:t>Integrity</w:t>
      </w:r>
    </w:p>
    <w:p w14:paraId="442C01C8" w14:textId="77777777" w:rsidR="00024639" w:rsidRDefault="00024639" w:rsidP="00024639"/>
    <w:p w14:paraId="1FBD0241" w14:textId="44712883" w:rsidR="00024639" w:rsidRDefault="00024639" w:rsidP="00024639">
      <w:r w:rsidRPr="007C5846">
        <w:t xml:space="preserve">The baseline implementation uses </w:t>
      </w:r>
      <w:r>
        <w:t xml:space="preserve">a </w:t>
      </w:r>
      <w:r w:rsidRPr="007C5846">
        <w:t xml:space="preserve">symmetric </w:t>
      </w:r>
      <w:r>
        <w:t xml:space="preserve">HMAC </w:t>
      </w:r>
      <w:r w:rsidRPr="007C5846">
        <w:t xml:space="preserve">key of 256 bits in length. </w:t>
      </w:r>
    </w:p>
    <w:p w14:paraId="310C3189" w14:textId="77777777" w:rsidR="00024639" w:rsidRPr="001B79CE" w:rsidRDefault="00024639" w:rsidP="00024639">
      <w:pPr>
        <w:pStyle w:val="Notelevel1"/>
        <w:keepNext/>
      </w:pPr>
      <w:r w:rsidRPr="001B79CE">
        <w:t>NOTES</w:t>
      </w:r>
    </w:p>
    <w:p w14:paraId="3BD517E8" w14:textId="77777777" w:rsidR="00024639" w:rsidRPr="001B79CE" w:rsidRDefault="00024639" w:rsidP="00C818EF">
      <w:pPr>
        <w:pStyle w:val="Noteslevel1"/>
        <w:numPr>
          <w:ilvl w:val="0"/>
          <w:numId w:val="19"/>
        </w:numPr>
        <w:pPrChange w:id="212" w:author="Birrane, Edward J." w:date="2020-05-01T17:51:00Z">
          <w:pPr>
            <w:pStyle w:val="Noteslevel1"/>
            <w:numPr>
              <w:numId w:val="75"/>
            </w:numPr>
            <w:tabs>
              <w:tab w:val="num" w:pos="360"/>
            </w:tabs>
          </w:pPr>
        </w:pPrChange>
      </w:pPr>
      <w:r>
        <w:t>It is assumed that the node that verifies integrity knows the HMAC key used when generating the original keyed hash.</w:t>
      </w:r>
    </w:p>
    <w:p w14:paraId="7902EF87" w14:textId="77777777" w:rsidR="00024639" w:rsidRDefault="00024639" w:rsidP="00C818EF">
      <w:pPr>
        <w:pStyle w:val="Noteslevel1"/>
        <w:numPr>
          <w:ilvl w:val="0"/>
          <w:numId w:val="19"/>
        </w:numPr>
        <w:pPrChange w:id="213" w:author="Birrane, Edward J." w:date="2020-05-01T17:51:00Z">
          <w:pPr>
            <w:pStyle w:val="Noteslevel1"/>
            <w:numPr>
              <w:numId w:val="75"/>
            </w:numPr>
            <w:tabs>
              <w:tab w:val="num" w:pos="360"/>
            </w:tabs>
          </w:pPr>
        </w:pPrChange>
      </w:pPr>
      <w:r w:rsidRPr="001B79CE">
        <w:t xml:space="preserve">The </w:t>
      </w:r>
      <w:r>
        <w:t>configuration, storage, and exchange of HMAC keys are outside the scope of this recommendation</w:t>
      </w:r>
      <w:r w:rsidRPr="001B79CE">
        <w:t>.</w:t>
      </w:r>
    </w:p>
    <w:p w14:paraId="29F70998" w14:textId="77777777" w:rsidR="00024639" w:rsidRPr="00394053" w:rsidRDefault="00024639" w:rsidP="00394053"/>
    <w:p w14:paraId="029B0D2E" w14:textId="2D714915" w:rsidR="00C6239F" w:rsidRDefault="00C6239F" w:rsidP="00394053">
      <w:pPr>
        <w:pStyle w:val="Annex3"/>
      </w:pPr>
      <w:r>
        <w:t>Canonicalization</w:t>
      </w:r>
    </w:p>
    <w:p w14:paraId="74A779C1" w14:textId="2BC676A5" w:rsidR="00C6239F" w:rsidRDefault="00C6239F" w:rsidP="00394053">
      <w:pPr>
        <w:pStyle w:val="Annex4"/>
      </w:pPr>
      <w:r>
        <w:t>Confidentiality</w:t>
      </w:r>
    </w:p>
    <w:p w14:paraId="2E234CD1" w14:textId="77777777" w:rsidR="00C6239F" w:rsidRDefault="00C6239F" w:rsidP="00C6239F">
      <w:pPr>
        <w:jc w:val="both"/>
      </w:pPr>
    </w:p>
    <w:p w14:paraId="2A92DE28" w14:textId="1A0E3566" w:rsidR="00C6239F" w:rsidRDefault="00C6239F" w:rsidP="00C6239F">
      <w:pPr>
        <w:jc w:val="both"/>
      </w:pPr>
      <w:r>
        <w:t xml:space="preserve">The baseline implementation uses the canonicalization algorithms defined in section </w:t>
      </w:r>
      <w:r>
        <w:fldChar w:fldCharType="begin"/>
      </w:r>
      <w:r>
        <w:instrText xml:space="preserve"> REF _Ref493083876 \n \h  \* MERGEFORMAT </w:instrText>
      </w:r>
      <w:r>
        <w:fldChar w:fldCharType="separate"/>
      </w:r>
      <w:r>
        <w:t>4.1.2</w:t>
      </w:r>
      <w:r>
        <w:fldChar w:fldCharType="end"/>
      </w:r>
      <w:r>
        <w:t xml:space="preserve"> with the following exceptions:</w:t>
      </w:r>
    </w:p>
    <w:p w14:paraId="5F617DD8" w14:textId="06CF6FF4" w:rsidR="00C6239F" w:rsidRDefault="00C6239F" w:rsidP="00C818EF">
      <w:pPr>
        <w:pStyle w:val="ListParagraph"/>
        <w:numPr>
          <w:ilvl w:val="0"/>
          <w:numId w:val="20"/>
        </w:numPr>
        <w:pPrChange w:id="214" w:author="Birrane, Edward J." w:date="2020-05-01T17:51:00Z">
          <w:pPr>
            <w:pStyle w:val="ListParagraph"/>
            <w:numPr>
              <w:numId w:val="78"/>
            </w:numPr>
            <w:tabs>
              <w:tab w:val="num" w:pos="360"/>
            </w:tabs>
          </w:pPr>
        </w:pPrChange>
      </w:pPr>
      <w:r>
        <w:t>The plain text used during encryption must be calculated as a single, definite length byte array representing the block-type-specific data of the BCB target block;</w:t>
      </w:r>
    </w:p>
    <w:p w14:paraId="5F06873B" w14:textId="77777777" w:rsidR="0082469C" w:rsidRDefault="0082469C" w:rsidP="00394053">
      <w:pPr>
        <w:pStyle w:val="ListParagraph"/>
      </w:pPr>
    </w:p>
    <w:p w14:paraId="2EEE2502" w14:textId="77777777" w:rsidR="0082469C" w:rsidRDefault="00C6239F" w:rsidP="00C818EF">
      <w:pPr>
        <w:pStyle w:val="ListParagraph"/>
        <w:numPr>
          <w:ilvl w:val="0"/>
          <w:numId w:val="20"/>
        </w:numPr>
        <w:pPrChange w:id="215" w:author="Birrane, Edward J." w:date="2020-05-01T17:51:00Z">
          <w:pPr>
            <w:pStyle w:val="ListParagraph"/>
            <w:numPr>
              <w:numId w:val="78"/>
            </w:numPr>
            <w:tabs>
              <w:tab w:val="num" w:pos="360"/>
            </w:tabs>
          </w:pPr>
        </w:pPrChange>
      </w:pPr>
      <w:r>
        <w:t>The cipher text used during decryption must be calculated as a single, definite length byte array representing the block-type-specific data of the BCB target block;</w:t>
      </w:r>
    </w:p>
    <w:p w14:paraId="75A8AEA6" w14:textId="77777777" w:rsidR="0082469C" w:rsidRDefault="0082469C" w:rsidP="00394053">
      <w:pPr>
        <w:pStyle w:val="ListParagraph"/>
      </w:pPr>
    </w:p>
    <w:p w14:paraId="53A1033A" w14:textId="400F8856" w:rsidR="00C6239F" w:rsidRDefault="00C6239F" w:rsidP="00C818EF">
      <w:pPr>
        <w:pStyle w:val="ListParagraph"/>
        <w:numPr>
          <w:ilvl w:val="0"/>
          <w:numId w:val="20"/>
        </w:numPr>
        <w:pPrChange w:id="216" w:author="Birrane, Edward J." w:date="2020-05-01T17:51:00Z">
          <w:pPr>
            <w:pStyle w:val="ListParagraph"/>
            <w:numPr>
              <w:numId w:val="78"/>
            </w:numPr>
            <w:tabs>
              <w:tab w:val="num" w:pos="360"/>
            </w:tabs>
          </w:pPr>
        </w:pPrChange>
      </w:pPr>
      <w:r>
        <w:t xml:space="preserve">All other fields of the BCB target block must not be considered as part of encryption or decryption. </w:t>
      </w:r>
    </w:p>
    <w:p w14:paraId="77C25B00" w14:textId="1D98C7DB" w:rsidR="00C6239F" w:rsidRDefault="00C6239F" w:rsidP="00394053"/>
    <w:p w14:paraId="357BB3ED" w14:textId="5D903A3C" w:rsidR="0082469C" w:rsidRDefault="0082469C" w:rsidP="0082469C">
      <w:pPr>
        <w:pStyle w:val="Annex4"/>
      </w:pPr>
      <w:r>
        <w:t>Integrity</w:t>
      </w:r>
    </w:p>
    <w:p w14:paraId="4FF87543" w14:textId="586B3F36" w:rsidR="0082469C" w:rsidRDefault="0082469C" w:rsidP="00394053"/>
    <w:p w14:paraId="047286FD" w14:textId="77777777" w:rsidR="0082469C" w:rsidRDefault="0082469C" w:rsidP="0082469C">
      <w:pPr>
        <w:jc w:val="both"/>
      </w:pPr>
      <w:r>
        <w:t xml:space="preserve">The baseline implementation uses the canonicalization algorithms defined in section </w:t>
      </w:r>
      <w:r>
        <w:fldChar w:fldCharType="begin"/>
      </w:r>
      <w:r>
        <w:instrText xml:space="preserve"> REF _Ref493083876 \n \h  \* MERGEFORMAT </w:instrText>
      </w:r>
      <w:r>
        <w:fldChar w:fldCharType="separate"/>
      </w:r>
      <w:r>
        <w:t>4.1.2</w:t>
      </w:r>
      <w:r>
        <w:fldChar w:fldCharType="end"/>
      </w:r>
      <w:r>
        <w:t xml:space="preserve"> with the following exceptions:</w:t>
      </w:r>
    </w:p>
    <w:p w14:paraId="0B0FF2FE" w14:textId="4741D89F" w:rsidR="0082469C" w:rsidRDefault="0082469C" w:rsidP="00C818EF">
      <w:pPr>
        <w:pStyle w:val="ListParagraph"/>
        <w:numPr>
          <w:ilvl w:val="0"/>
          <w:numId w:val="21"/>
        </w:numPr>
        <w:pPrChange w:id="217" w:author="Birrane, Edward J." w:date="2020-05-01T17:51:00Z">
          <w:pPr>
            <w:pStyle w:val="ListParagraph"/>
            <w:numPr>
              <w:numId w:val="79"/>
            </w:numPr>
            <w:tabs>
              <w:tab w:val="num" w:pos="360"/>
            </w:tabs>
          </w:pPr>
        </w:pPrChange>
      </w:pPr>
      <w:r>
        <w:t>The keyed hash must be calculated as a single, definite length byte array over the block-type-specific data of the BIB target block;</w:t>
      </w:r>
    </w:p>
    <w:p w14:paraId="44202740" w14:textId="77777777" w:rsidR="0082469C" w:rsidRDefault="0082469C" w:rsidP="00394053">
      <w:pPr>
        <w:pStyle w:val="ListParagraph"/>
      </w:pPr>
    </w:p>
    <w:p w14:paraId="2564EAC9" w14:textId="1F25E005" w:rsidR="0082469C" w:rsidRPr="00394053" w:rsidRDefault="0082469C" w:rsidP="00C818EF">
      <w:pPr>
        <w:pStyle w:val="ListParagraph"/>
        <w:numPr>
          <w:ilvl w:val="0"/>
          <w:numId w:val="21"/>
        </w:numPr>
        <w:pPrChange w:id="218" w:author="Birrane, Edward J." w:date="2020-05-01T17:51:00Z">
          <w:pPr>
            <w:pStyle w:val="ListParagraph"/>
            <w:numPr>
              <w:numId w:val="79"/>
            </w:numPr>
            <w:tabs>
              <w:tab w:val="num" w:pos="360"/>
            </w:tabs>
          </w:pPr>
        </w:pPrChange>
      </w:pPr>
      <w:r>
        <w:t>All other fields of the BIB target block must not be included in the calculation of the keyed hash.</w:t>
      </w:r>
    </w:p>
    <w:p w14:paraId="6E0D86F0" w14:textId="77777777" w:rsidR="00C6239F" w:rsidRPr="00394053" w:rsidRDefault="00C6239F" w:rsidP="00394053"/>
    <w:p w14:paraId="73605178" w14:textId="77777777" w:rsidR="00A371E4" w:rsidRDefault="00A371E4" w:rsidP="00A371E4">
      <w:pPr>
        <w:rPr>
          <w:b/>
        </w:rPr>
      </w:pPr>
    </w:p>
    <w:p w14:paraId="742E628E" w14:textId="507046C3" w:rsidR="00014768" w:rsidRDefault="00014768" w:rsidP="00014768">
      <w:pPr>
        <w:pStyle w:val="Annex3"/>
      </w:pPr>
      <w:r>
        <w:t>Processing</w:t>
      </w:r>
    </w:p>
    <w:p w14:paraId="3287CCA9" w14:textId="77777777" w:rsidR="00014768" w:rsidRDefault="00014768" w:rsidP="00014768">
      <w:pPr>
        <w:pStyle w:val="Annex4"/>
      </w:pPr>
      <w:r>
        <w:t>Confidentiality</w:t>
      </w:r>
    </w:p>
    <w:p w14:paraId="599315C6" w14:textId="6C381E4A" w:rsidR="00014768" w:rsidRDefault="00014768" w:rsidP="00394053">
      <w:pPr>
        <w:pStyle w:val="Annex5"/>
      </w:pPr>
      <w:r>
        <w:t>Encryption at a Security Source</w:t>
      </w:r>
    </w:p>
    <w:p w14:paraId="5F51985B" w14:textId="77777777" w:rsidR="00014768" w:rsidRDefault="00014768" w:rsidP="00014768"/>
    <w:p w14:paraId="0C84BBE6" w14:textId="08DA270F" w:rsidR="00014768" w:rsidRDefault="00014768" w:rsidP="00014768">
      <w:r>
        <w:t>The baseline implementation performs encryption using the target block plain text, a unique initialization vector (IV), and a key as inputs to the AES-GCM-</w:t>
      </w:r>
      <w:r w:rsidR="00F96627">
        <w:t xml:space="preserve">256 algorithm defined in </w:t>
      </w:r>
      <w:r w:rsidR="00F96627">
        <w:fldChar w:fldCharType="begin"/>
      </w:r>
      <w:r w:rsidR="00F96627">
        <w:instrText xml:space="preserve"> REF _Ref39244343 \r \h </w:instrText>
      </w:r>
      <w:r w:rsidR="00F96627">
        <w:fldChar w:fldCharType="separate"/>
      </w:r>
      <w:r w:rsidR="00F96627">
        <w:t>E1.1.1</w:t>
      </w:r>
      <w:r w:rsidR="00F96627">
        <w:fldChar w:fldCharType="end"/>
      </w:r>
      <w:r>
        <w:t xml:space="preserve">. </w:t>
      </w:r>
    </w:p>
    <w:p w14:paraId="5B291C21" w14:textId="77777777" w:rsidR="00014768" w:rsidRPr="001B79CE" w:rsidRDefault="00014768" w:rsidP="00014768">
      <w:pPr>
        <w:pStyle w:val="Notelevel1"/>
        <w:keepNext/>
      </w:pPr>
      <w:r w:rsidRPr="001B79CE">
        <w:t>NOTES</w:t>
      </w:r>
    </w:p>
    <w:p w14:paraId="5328F2F5" w14:textId="13220E5D" w:rsidR="00014768" w:rsidRDefault="00014768" w:rsidP="00C818EF">
      <w:pPr>
        <w:pStyle w:val="Noteslevel1"/>
        <w:numPr>
          <w:ilvl w:val="0"/>
          <w:numId w:val="22"/>
        </w:numPr>
        <w:pPrChange w:id="219" w:author="Birrane, Edward J." w:date="2020-05-01T17:51:00Z">
          <w:pPr>
            <w:pStyle w:val="Noteslevel1"/>
            <w:numPr>
              <w:numId w:val="80"/>
            </w:numPr>
            <w:tabs>
              <w:tab w:val="num" w:pos="360"/>
            </w:tabs>
          </w:pPr>
        </w:pPrChange>
      </w:pPr>
      <w:r>
        <w:t xml:space="preserve">The IV is provided as a security context parameter, as seen in </w:t>
      </w:r>
      <w:r w:rsidR="00350CE6">
        <w:fldChar w:fldCharType="begin"/>
      </w:r>
      <w:r w:rsidR="00350CE6">
        <w:instrText xml:space="preserve"> REF _Ref39244787 \h </w:instrText>
      </w:r>
      <w:r w:rsidR="00350CE6">
        <w:fldChar w:fldCharType="separate"/>
      </w:r>
      <w:r w:rsidR="00350CE6" w:rsidRPr="00E51114">
        <w:rPr>
          <w:szCs w:val="24"/>
        </w:rPr>
        <w:t xml:space="preserve">Table </w:t>
      </w:r>
      <w:r w:rsidR="00350CE6" w:rsidRPr="00E51114">
        <w:rPr>
          <w:noProof/>
          <w:szCs w:val="24"/>
        </w:rPr>
        <w:t>E</w:t>
      </w:r>
      <w:r w:rsidR="00350CE6" w:rsidRPr="00E51114">
        <w:rPr>
          <w:szCs w:val="24"/>
        </w:rPr>
        <w:noBreakHyphen/>
      </w:r>
      <w:r w:rsidR="00350CE6" w:rsidRPr="00E51114">
        <w:rPr>
          <w:noProof/>
          <w:szCs w:val="24"/>
        </w:rPr>
        <w:t>1</w:t>
      </w:r>
      <w:r w:rsidR="00350CE6">
        <w:fldChar w:fldCharType="end"/>
      </w:r>
      <w:r>
        <w:t>.</w:t>
      </w:r>
    </w:p>
    <w:p w14:paraId="64FD7A17" w14:textId="77777777" w:rsidR="00014768" w:rsidRPr="001B79CE" w:rsidRDefault="00014768" w:rsidP="00C818EF">
      <w:pPr>
        <w:pStyle w:val="Noteslevel1"/>
        <w:numPr>
          <w:ilvl w:val="0"/>
          <w:numId w:val="22"/>
        </w:numPr>
        <w:pPrChange w:id="220" w:author="Birrane, Edward J." w:date="2020-05-01T17:51:00Z">
          <w:pPr>
            <w:pStyle w:val="Noteslevel1"/>
            <w:numPr>
              <w:numId w:val="80"/>
            </w:numPr>
            <w:tabs>
              <w:tab w:val="num" w:pos="360"/>
            </w:tabs>
          </w:pPr>
        </w:pPrChange>
      </w:pPr>
      <w:r>
        <w:t>For every encryption performed with the same key, a unique IV must be used. The same key and IV combination must not be used more than once.</w:t>
      </w:r>
    </w:p>
    <w:p w14:paraId="6B41C36E" w14:textId="77777777" w:rsidR="00014768" w:rsidRPr="001B79CE" w:rsidRDefault="00014768" w:rsidP="00C818EF">
      <w:pPr>
        <w:pStyle w:val="Noteslevel1"/>
        <w:numPr>
          <w:ilvl w:val="0"/>
          <w:numId w:val="22"/>
        </w:numPr>
        <w:pPrChange w:id="221" w:author="Birrane, Edward J." w:date="2020-05-01T17:51:00Z">
          <w:pPr>
            <w:pStyle w:val="Noteslevel1"/>
            <w:numPr>
              <w:numId w:val="80"/>
            </w:numPr>
            <w:tabs>
              <w:tab w:val="num" w:pos="360"/>
            </w:tabs>
          </w:pPr>
        </w:pPrChange>
      </w:pPr>
      <w:r>
        <w:t>Key management is outside of the scope of this recommendation</w:t>
      </w:r>
      <w:r w:rsidRPr="001B79CE">
        <w:t>.</w:t>
      </w:r>
    </w:p>
    <w:p w14:paraId="54F3558F" w14:textId="77777777" w:rsidR="00014768" w:rsidRDefault="00014768" w:rsidP="00014768"/>
    <w:p w14:paraId="16263FDE" w14:textId="77777777" w:rsidR="00014768" w:rsidRDefault="00014768" w:rsidP="00014768">
      <w:r>
        <w:t xml:space="preserve">The cipher text calculated as a result of encrypting the target block must replace the target block’s plain text block-type-specific data. The cipher text must be the same length as the plain text to be replaced. </w:t>
      </w:r>
    </w:p>
    <w:p w14:paraId="546CF739" w14:textId="77777777" w:rsidR="00014768" w:rsidRPr="001B79CE" w:rsidRDefault="00014768" w:rsidP="00014768">
      <w:pPr>
        <w:pStyle w:val="Notelevel1"/>
      </w:pPr>
      <w:r w:rsidRPr="001B79CE">
        <w:t>NOTE</w:t>
      </w:r>
      <w:r w:rsidRPr="001B79CE">
        <w:tab/>
        <w:t>–</w:t>
      </w:r>
      <w:r w:rsidRPr="001B79CE">
        <w:tab/>
      </w:r>
      <w:r>
        <w:t>The length field of the target block must not be modified as the generated cipher text will always be the same length as the plain text it is replacing</w:t>
      </w:r>
      <w:r w:rsidRPr="001B79CE">
        <w:t>.</w:t>
      </w:r>
    </w:p>
    <w:p w14:paraId="73551BCC" w14:textId="77777777" w:rsidR="00014768" w:rsidRDefault="00014768" w:rsidP="00014768"/>
    <w:p w14:paraId="23185600" w14:textId="77777777" w:rsidR="00014768" w:rsidRDefault="00014768" w:rsidP="00014768">
      <w:r>
        <w:t xml:space="preserve">The authentication tag generated by the security context must be added as a security result of the BCB. </w:t>
      </w:r>
    </w:p>
    <w:p w14:paraId="3FEEF285" w14:textId="77777777" w:rsidR="00014768" w:rsidRPr="00394053" w:rsidRDefault="00014768" w:rsidP="00394053"/>
    <w:p w14:paraId="3A5E09E9" w14:textId="13B48AC9" w:rsidR="00F96627" w:rsidRDefault="00F96627" w:rsidP="00394053">
      <w:pPr>
        <w:pStyle w:val="Annex5"/>
      </w:pPr>
      <w:r>
        <w:t>Decrypting at a Security Acceptor</w:t>
      </w:r>
    </w:p>
    <w:p w14:paraId="508C94FC" w14:textId="77777777" w:rsidR="00097ACC" w:rsidRDefault="00097ACC" w:rsidP="007E64D2"/>
    <w:p w14:paraId="7CBED8F1" w14:textId="3E4F4629" w:rsidR="007E64D2" w:rsidRDefault="007E64D2" w:rsidP="007E64D2">
      <w:r>
        <w:t xml:space="preserve">The baseline implementation performs decryption using the target block cipher text, an IV, key, and authentication tag as inputs to the AES-GCM-256 algorithm defined in </w:t>
      </w:r>
      <w:r w:rsidR="00097ACC">
        <w:fldChar w:fldCharType="begin"/>
      </w:r>
      <w:r w:rsidR="00097ACC">
        <w:instrText xml:space="preserve"> REF _Ref39244343 \r \h </w:instrText>
      </w:r>
      <w:r w:rsidR="00097ACC">
        <w:fldChar w:fldCharType="separate"/>
      </w:r>
      <w:r w:rsidR="00097ACC">
        <w:t>E1.1.1</w:t>
      </w:r>
      <w:r w:rsidR="00097ACC">
        <w:fldChar w:fldCharType="end"/>
      </w:r>
      <w:r>
        <w:fldChar w:fldCharType="begin"/>
      </w:r>
      <w:r>
        <w:instrText xml:space="preserve"> REF _Ref39237451 \r \h </w:instrText>
      </w:r>
      <w:r>
        <w:fldChar w:fldCharType="separate"/>
      </w:r>
      <w:r>
        <w:fldChar w:fldCharType="end"/>
      </w:r>
      <w:r>
        <w:t>.</w:t>
      </w:r>
    </w:p>
    <w:p w14:paraId="40958EB6" w14:textId="77777777" w:rsidR="007E64D2" w:rsidRPr="001B79CE" w:rsidRDefault="007E64D2" w:rsidP="007E64D2">
      <w:pPr>
        <w:pStyle w:val="Notelevel1"/>
        <w:keepNext/>
      </w:pPr>
      <w:r w:rsidRPr="001B79CE">
        <w:t>NOTES</w:t>
      </w:r>
    </w:p>
    <w:p w14:paraId="4490AB04" w14:textId="141006A6" w:rsidR="007E64D2" w:rsidRDefault="007E64D2" w:rsidP="00C818EF">
      <w:pPr>
        <w:pStyle w:val="Noteslevel1"/>
        <w:numPr>
          <w:ilvl w:val="0"/>
          <w:numId w:val="23"/>
        </w:numPr>
        <w:pPrChange w:id="222" w:author="Birrane, Edward J." w:date="2020-05-01T17:51:00Z">
          <w:pPr>
            <w:pStyle w:val="Noteslevel1"/>
            <w:numPr>
              <w:numId w:val="81"/>
            </w:numPr>
            <w:tabs>
              <w:tab w:val="num" w:pos="360"/>
            </w:tabs>
          </w:pPr>
        </w:pPrChange>
      </w:pPr>
      <w:r>
        <w:t xml:space="preserve">The IV is provided as a security context parameter, as seen in </w:t>
      </w:r>
      <w:r w:rsidR="00350CE6">
        <w:fldChar w:fldCharType="begin"/>
      </w:r>
      <w:r w:rsidR="00350CE6">
        <w:instrText xml:space="preserve"> REF _Ref39244787 \h </w:instrText>
      </w:r>
      <w:r w:rsidR="00350CE6">
        <w:fldChar w:fldCharType="separate"/>
      </w:r>
      <w:r w:rsidR="00350CE6" w:rsidRPr="00E51114">
        <w:rPr>
          <w:szCs w:val="24"/>
        </w:rPr>
        <w:t xml:space="preserve">Table </w:t>
      </w:r>
      <w:r w:rsidR="00350CE6" w:rsidRPr="00E51114">
        <w:rPr>
          <w:noProof/>
          <w:szCs w:val="24"/>
        </w:rPr>
        <w:t>E</w:t>
      </w:r>
      <w:r w:rsidR="00350CE6" w:rsidRPr="00E51114">
        <w:rPr>
          <w:szCs w:val="24"/>
        </w:rPr>
        <w:noBreakHyphen/>
      </w:r>
      <w:r w:rsidR="00350CE6" w:rsidRPr="00E51114">
        <w:rPr>
          <w:noProof/>
          <w:szCs w:val="24"/>
        </w:rPr>
        <w:t>1</w:t>
      </w:r>
      <w:r w:rsidR="00350CE6">
        <w:fldChar w:fldCharType="end"/>
      </w:r>
      <w:r w:rsidRPr="00B22BE8">
        <w:t>.</w:t>
      </w:r>
    </w:p>
    <w:p w14:paraId="7CFD9C8E" w14:textId="1443FD31" w:rsidR="007E64D2" w:rsidRPr="001B79CE" w:rsidRDefault="007E64D2" w:rsidP="00C818EF">
      <w:pPr>
        <w:pStyle w:val="Noteslevel1"/>
        <w:numPr>
          <w:ilvl w:val="0"/>
          <w:numId w:val="23"/>
        </w:numPr>
        <w:pPrChange w:id="223" w:author="Birrane, Edward J." w:date="2020-05-01T17:51:00Z">
          <w:pPr>
            <w:pStyle w:val="Noteslevel1"/>
            <w:numPr>
              <w:numId w:val="81"/>
            </w:numPr>
            <w:tabs>
              <w:tab w:val="num" w:pos="360"/>
            </w:tabs>
          </w:pPr>
        </w:pPrChange>
      </w:pPr>
      <w:r>
        <w:t xml:space="preserve">The authentication tag is provided as a BCB security result, as seen in </w:t>
      </w:r>
      <w:r w:rsidR="00350CE6">
        <w:fldChar w:fldCharType="begin"/>
      </w:r>
      <w:r w:rsidR="00350CE6">
        <w:instrText xml:space="preserve"> REF _Ref39244787 \h </w:instrText>
      </w:r>
      <w:r w:rsidR="00350CE6">
        <w:fldChar w:fldCharType="separate"/>
      </w:r>
      <w:r w:rsidR="00350CE6" w:rsidRPr="00E51114">
        <w:rPr>
          <w:szCs w:val="24"/>
        </w:rPr>
        <w:t xml:space="preserve">Table </w:t>
      </w:r>
      <w:r w:rsidR="00350CE6" w:rsidRPr="00E51114">
        <w:rPr>
          <w:noProof/>
          <w:szCs w:val="24"/>
        </w:rPr>
        <w:t>E</w:t>
      </w:r>
      <w:r w:rsidR="00350CE6" w:rsidRPr="00E51114">
        <w:rPr>
          <w:szCs w:val="24"/>
        </w:rPr>
        <w:noBreakHyphen/>
      </w:r>
      <w:r w:rsidR="00350CE6" w:rsidRPr="00E51114">
        <w:rPr>
          <w:noProof/>
          <w:szCs w:val="24"/>
        </w:rPr>
        <w:t>1</w:t>
      </w:r>
      <w:r w:rsidR="00350CE6">
        <w:fldChar w:fldCharType="end"/>
      </w:r>
      <w:r w:rsidRPr="00EA4A1A">
        <w:t>.</w:t>
      </w:r>
    </w:p>
    <w:p w14:paraId="286BE734" w14:textId="77777777" w:rsidR="007E64D2" w:rsidRDefault="007E64D2" w:rsidP="007E64D2"/>
    <w:p w14:paraId="4E9173DB" w14:textId="77777777" w:rsidR="007E64D2" w:rsidRDefault="007E64D2" w:rsidP="007E64D2">
      <w:r w:rsidRPr="00465D15">
        <w:t xml:space="preserve">The plain text </w:t>
      </w:r>
      <w:r>
        <w:t xml:space="preserve">calculated as a result of </w:t>
      </w:r>
      <w:r w:rsidRPr="00465D15">
        <w:t>decryp</w:t>
      </w:r>
      <w:r>
        <w:t>ting</w:t>
      </w:r>
      <w:r w:rsidRPr="00465D15">
        <w:t xml:space="preserve"> </w:t>
      </w:r>
      <w:r>
        <w:t xml:space="preserve">the target block </w:t>
      </w:r>
      <w:r w:rsidRPr="00465D15">
        <w:t xml:space="preserve">must replace the </w:t>
      </w:r>
      <w:r>
        <w:t xml:space="preserve">target block’s </w:t>
      </w:r>
      <w:r w:rsidRPr="00465D15">
        <w:t>cipher text block-type-specific data.</w:t>
      </w:r>
      <w:r>
        <w:t xml:space="preserve"> The plain text must be the same length as the cipher text to be replaced.</w:t>
      </w:r>
    </w:p>
    <w:p w14:paraId="3D167AB7" w14:textId="77777777" w:rsidR="007E64D2" w:rsidRDefault="007E64D2" w:rsidP="007E64D2">
      <w:pPr>
        <w:pStyle w:val="Notelevel1"/>
      </w:pPr>
      <w:r w:rsidRPr="001B79CE">
        <w:lastRenderedPageBreak/>
        <w:t>NOTE</w:t>
      </w:r>
      <w:r w:rsidRPr="001B79CE">
        <w:tab/>
        <w:t>–</w:t>
      </w:r>
      <w:r w:rsidRPr="001B79CE">
        <w:tab/>
      </w:r>
      <w:r>
        <w:t>The length field of the target block must not be modified as the generated plain text will always be the same length as the cipher text it is replacing</w:t>
      </w:r>
      <w:r w:rsidRPr="001B79CE">
        <w:t>.</w:t>
      </w:r>
    </w:p>
    <w:p w14:paraId="48E98BE9" w14:textId="77777777" w:rsidR="00F96627" w:rsidRPr="00394053" w:rsidRDefault="00F96627" w:rsidP="00394053"/>
    <w:p w14:paraId="2AF3E854" w14:textId="36E48B13" w:rsidR="0066611A" w:rsidRDefault="0066611A" w:rsidP="00394053">
      <w:pPr>
        <w:pStyle w:val="Annex4"/>
      </w:pPr>
      <w:r>
        <w:t>Integrity</w:t>
      </w:r>
    </w:p>
    <w:p w14:paraId="021E95BB" w14:textId="2DB30CF0" w:rsidR="0066611A" w:rsidRDefault="0066611A" w:rsidP="00394053">
      <w:pPr>
        <w:pStyle w:val="Annex5"/>
      </w:pPr>
      <w:r>
        <w:t>Keyed Hash Generation at a Security Source</w:t>
      </w:r>
    </w:p>
    <w:p w14:paraId="35A401A2" w14:textId="77777777" w:rsidR="00BA69E8" w:rsidRDefault="00BA69E8" w:rsidP="00BA69E8"/>
    <w:p w14:paraId="1E20A85E" w14:textId="2979B2DB" w:rsidR="00BA69E8" w:rsidRDefault="00BA69E8" w:rsidP="00BA69E8">
      <w:r>
        <w:t>The baseline implementation generates a keyed hash using the target block’s block-type-specific data and an HMAC key as input to the HMAC-SHA-256 algorithm defined in</w:t>
      </w:r>
      <w:r w:rsidR="00562814">
        <w:t xml:space="preserve"> </w:t>
      </w:r>
      <w:r w:rsidR="00562814">
        <w:fldChar w:fldCharType="begin"/>
      </w:r>
      <w:r w:rsidR="00562814">
        <w:instrText xml:space="preserve"> REF _Ref39244580 \r \h </w:instrText>
      </w:r>
      <w:r w:rsidR="00562814">
        <w:fldChar w:fldCharType="separate"/>
      </w:r>
      <w:r w:rsidR="00562814">
        <w:t>E1.1.2</w:t>
      </w:r>
      <w:r w:rsidR="00562814">
        <w:fldChar w:fldCharType="end"/>
      </w:r>
      <w:r>
        <w:t>.</w:t>
      </w:r>
    </w:p>
    <w:p w14:paraId="0A8AD894" w14:textId="77777777" w:rsidR="00BA69E8" w:rsidRDefault="00BA69E8" w:rsidP="00BA69E8"/>
    <w:p w14:paraId="65E7ED58" w14:textId="20012822" w:rsidR="00BA69E8" w:rsidRDefault="00562814" w:rsidP="00562814">
      <w:pPr>
        <w:tabs>
          <w:tab w:val="left" w:pos="810"/>
        </w:tabs>
        <w:ind w:left="1080" w:hanging="1080"/>
      </w:pPr>
      <w:r>
        <w:t>NOTE</w:t>
      </w:r>
      <w:r>
        <w:tab/>
        <w:t xml:space="preserve">– </w:t>
      </w:r>
      <w:r w:rsidR="00BA69E8">
        <w:t xml:space="preserve">Key management is outside of the scope of this recommendation. </w:t>
      </w:r>
    </w:p>
    <w:p w14:paraId="0D8948F3" w14:textId="77777777" w:rsidR="00BA69E8" w:rsidRDefault="00BA69E8" w:rsidP="00BA69E8"/>
    <w:p w14:paraId="49042A68" w14:textId="1D23514E" w:rsidR="0066611A" w:rsidRDefault="00BA69E8" w:rsidP="00394053">
      <w:r>
        <w:t>The generated hash must be stored as the Integrity Signature security result in the BIB.</w:t>
      </w:r>
    </w:p>
    <w:p w14:paraId="6EF2E39E" w14:textId="01B12472" w:rsidR="00431851" w:rsidRDefault="00431851" w:rsidP="00394053"/>
    <w:p w14:paraId="1FFF97E7" w14:textId="4E1C729F" w:rsidR="00870CF2" w:rsidRDefault="00870CF2" w:rsidP="00870CF2">
      <w:pPr>
        <w:pStyle w:val="Annex5"/>
      </w:pPr>
      <w:r>
        <w:t xml:space="preserve">Keyed Hash </w:t>
      </w:r>
      <w:r w:rsidR="00CF05CE">
        <w:t>Verification at a Security V</w:t>
      </w:r>
      <w:r>
        <w:t>erifier or Acceptor</w:t>
      </w:r>
    </w:p>
    <w:p w14:paraId="03CFE98F" w14:textId="77777777" w:rsidR="00431851" w:rsidRPr="00394053" w:rsidRDefault="00431851" w:rsidP="00394053"/>
    <w:p w14:paraId="128AE7CC" w14:textId="59977079" w:rsidR="00CF05CE" w:rsidRDefault="00CF05CE" w:rsidP="00CF05CE">
      <w:r>
        <w:t xml:space="preserve">The baseline implementation generates a keyed hash using the target block’s block-type-specific data and an HMAC key as inputs to the HMAC-SHA-256 algorithm defined in </w:t>
      </w:r>
      <w:r>
        <w:fldChar w:fldCharType="begin"/>
      </w:r>
      <w:r>
        <w:instrText xml:space="preserve"> REF _Ref39244580 \r \h </w:instrText>
      </w:r>
      <w:r>
        <w:fldChar w:fldCharType="separate"/>
      </w:r>
      <w:r>
        <w:t>E1.1.2</w:t>
      </w:r>
      <w:r>
        <w:fldChar w:fldCharType="end"/>
      </w:r>
      <w:r>
        <w:t>.</w:t>
      </w:r>
    </w:p>
    <w:p w14:paraId="75EB3E85" w14:textId="77777777" w:rsidR="00CF05CE" w:rsidRDefault="00CF05CE" w:rsidP="00CF05CE"/>
    <w:p w14:paraId="5CCA641C" w14:textId="0ECD4484" w:rsidR="00CF05CE" w:rsidRDefault="00CF05CE" w:rsidP="00CF05CE">
      <w:r>
        <w:t xml:space="preserve">The generated hash shall be compared to the Integrity Signature security result of the BIB, seen </w:t>
      </w:r>
      <w:r w:rsidRPr="00A24581">
        <w:t xml:space="preserve">in </w:t>
      </w:r>
      <w:r w:rsidR="00350CE6">
        <w:fldChar w:fldCharType="begin"/>
      </w:r>
      <w:r w:rsidR="00350CE6">
        <w:instrText xml:space="preserve"> REF _Ref39244787 \h </w:instrText>
      </w:r>
      <w:r w:rsidR="00350CE6">
        <w:fldChar w:fldCharType="separate"/>
      </w:r>
      <w:r w:rsidR="00350CE6" w:rsidRPr="00E51114">
        <w:t xml:space="preserve">Table </w:t>
      </w:r>
      <w:r w:rsidR="00350CE6" w:rsidRPr="00E51114">
        <w:rPr>
          <w:noProof/>
        </w:rPr>
        <w:t>E</w:t>
      </w:r>
      <w:r w:rsidR="00350CE6" w:rsidRPr="00E51114">
        <w:noBreakHyphen/>
      </w:r>
      <w:r w:rsidR="00350CE6" w:rsidRPr="00E51114">
        <w:rPr>
          <w:noProof/>
        </w:rPr>
        <w:t>1</w:t>
      </w:r>
      <w:r w:rsidR="00350CE6">
        <w:fldChar w:fldCharType="end"/>
      </w:r>
      <w:r>
        <w:t xml:space="preserve">. If the hashes are identical, integrity verification is successful. Otherwise, integrity of the target block cannot be verified. </w:t>
      </w:r>
    </w:p>
    <w:p w14:paraId="19BA67F8" w14:textId="77777777" w:rsidR="0066611A" w:rsidRPr="00394053" w:rsidRDefault="0066611A" w:rsidP="00394053"/>
    <w:p w14:paraId="6933FEF1" w14:textId="0C021866" w:rsidR="00CC29EA" w:rsidRDefault="00CC29EA" w:rsidP="00394053">
      <w:pPr>
        <w:pStyle w:val="Annex3"/>
      </w:pPr>
      <w:r>
        <w:t>Parameter and Result Definitions</w:t>
      </w:r>
    </w:p>
    <w:p w14:paraId="476EADB6" w14:textId="090C81D4" w:rsidR="00CC29EA" w:rsidRDefault="00CC29EA" w:rsidP="00394053"/>
    <w:p w14:paraId="435A53F8" w14:textId="618EB861" w:rsidR="00CC29EA" w:rsidRDefault="00CC29EA" w:rsidP="00CC29EA">
      <w:r w:rsidRPr="00E65192">
        <w:t xml:space="preserve">The </w:t>
      </w:r>
      <w:r>
        <w:t>security context</w:t>
      </w:r>
      <w:r w:rsidRPr="00E65192">
        <w:t xml:space="preserve"> parameters and results </w:t>
      </w:r>
      <w:r>
        <w:t xml:space="preserve">for both integrity and confidentiality services </w:t>
      </w:r>
      <w:r w:rsidRPr="00E65192">
        <w:t xml:space="preserve">shall be as defined </w:t>
      </w:r>
      <w:r w:rsidRPr="00F74F4F">
        <w:t>in</w:t>
      </w:r>
      <w:r w:rsidR="00350CE6">
        <w:t xml:space="preserve"> </w:t>
      </w:r>
      <w:r w:rsidR="00350CE6">
        <w:fldChar w:fldCharType="begin"/>
      </w:r>
      <w:r w:rsidR="00350CE6">
        <w:instrText xml:space="preserve"> REF _Ref39244787 \h </w:instrText>
      </w:r>
      <w:r w:rsidR="00350CE6">
        <w:fldChar w:fldCharType="separate"/>
      </w:r>
      <w:r w:rsidR="00350CE6" w:rsidRPr="00394053">
        <w:t xml:space="preserve">Table </w:t>
      </w:r>
      <w:r w:rsidR="00350CE6" w:rsidRPr="00394053">
        <w:rPr>
          <w:noProof/>
        </w:rPr>
        <w:t>E</w:t>
      </w:r>
      <w:r w:rsidR="00350CE6" w:rsidRPr="00394053">
        <w:noBreakHyphen/>
      </w:r>
      <w:r w:rsidR="00350CE6" w:rsidRPr="00394053">
        <w:rPr>
          <w:noProof/>
        </w:rPr>
        <w:t>1</w:t>
      </w:r>
      <w:r w:rsidR="00350CE6">
        <w:fldChar w:fldCharType="end"/>
      </w:r>
      <w:r w:rsidRPr="00F74F4F">
        <w:t>.</w:t>
      </w:r>
    </w:p>
    <w:p w14:paraId="7A855F40" w14:textId="0F2DEF80" w:rsidR="00CC29EA" w:rsidRDefault="00CC29EA" w:rsidP="00CC29EA"/>
    <w:p w14:paraId="3F3DA7AC" w14:textId="2CBCE35A" w:rsidR="001C59C9" w:rsidRPr="00394053" w:rsidRDefault="001C59C9" w:rsidP="00394053">
      <w:pPr>
        <w:pStyle w:val="Caption"/>
        <w:keepNext/>
        <w:jc w:val="center"/>
        <w:rPr>
          <w:i w:val="0"/>
          <w:color w:val="auto"/>
          <w:sz w:val="24"/>
          <w:szCs w:val="24"/>
        </w:rPr>
      </w:pPr>
      <w:bookmarkStart w:id="224" w:name="_Ref39244787"/>
      <w:bookmarkStart w:id="225" w:name="_Toc39246964"/>
      <w:r w:rsidRPr="00394053">
        <w:rPr>
          <w:i w:val="0"/>
          <w:color w:val="auto"/>
          <w:sz w:val="24"/>
          <w:szCs w:val="24"/>
        </w:rPr>
        <w:lastRenderedPageBreak/>
        <w:t xml:space="preserve">Table </w:t>
      </w:r>
      <w:r w:rsidR="00713AF0" w:rsidRPr="00394053">
        <w:rPr>
          <w:i w:val="0"/>
          <w:color w:val="auto"/>
          <w:sz w:val="24"/>
          <w:szCs w:val="24"/>
        </w:rPr>
        <w:fldChar w:fldCharType="begin"/>
      </w:r>
      <w:r w:rsidR="00713AF0" w:rsidRPr="00394053">
        <w:rPr>
          <w:i w:val="0"/>
          <w:color w:val="auto"/>
          <w:sz w:val="24"/>
          <w:szCs w:val="24"/>
        </w:rPr>
        <w:instrText xml:space="preserve"> STYLEREF 8 \s </w:instrText>
      </w:r>
      <w:r w:rsidR="00713AF0" w:rsidRPr="00394053">
        <w:rPr>
          <w:i w:val="0"/>
          <w:color w:val="auto"/>
          <w:sz w:val="24"/>
          <w:szCs w:val="24"/>
        </w:rPr>
        <w:fldChar w:fldCharType="separate"/>
      </w:r>
      <w:r w:rsidR="00713AF0" w:rsidRPr="00394053">
        <w:rPr>
          <w:i w:val="0"/>
          <w:noProof/>
          <w:color w:val="auto"/>
          <w:sz w:val="24"/>
          <w:szCs w:val="24"/>
        </w:rPr>
        <w:t>E</w:t>
      </w:r>
      <w:r w:rsidR="00713AF0" w:rsidRPr="00394053">
        <w:rPr>
          <w:i w:val="0"/>
          <w:color w:val="auto"/>
          <w:sz w:val="24"/>
          <w:szCs w:val="24"/>
        </w:rPr>
        <w:fldChar w:fldCharType="end"/>
      </w:r>
      <w:r w:rsidR="00713AF0" w:rsidRPr="00394053">
        <w:rPr>
          <w:i w:val="0"/>
          <w:color w:val="auto"/>
          <w:sz w:val="24"/>
          <w:szCs w:val="24"/>
        </w:rPr>
        <w:noBreakHyphen/>
      </w:r>
      <w:r w:rsidR="00713AF0" w:rsidRPr="00394053">
        <w:rPr>
          <w:i w:val="0"/>
          <w:color w:val="auto"/>
          <w:sz w:val="24"/>
          <w:szCs w:val="24"/>
        </w:rPr>
        <w:fldChar w:fldCharType="begin"/>
      </w:r>
      <w:r w:rsidR="00713AF0" w:rsidRPr="00394053">
        <w:rPr>
          <w:i w:val="0"/>
          <w:color w:val="auto"/>
          <w:sz w:val="24"/>
          <w:szCs w:val="24"/>
        </w:rPr>
        <w:instrText xml:space="preserve"> SEQ Table \* ARABIC \s 8 </w:instrText>
      </w:r>
      <w:r w:rsidR="00713AF0" w:rsidRPr="00394053">
        <w:rPr>
          <w:i w:val="0"/>
          <w:color w:val="auto"/>
          <w:sz w:val="24"/>
          <w:szCs w:val="24"/>
        </w:rPr>
        <w:fldChar w:fldCharType="separate"/>
      </w:r>
      <w:r w:rsidR="00713AF0" w:rsidRPr="00394053">
        <w:rPr>
          <w:i w:val="0"/>
          <w:noProof/>
          <w:color w:val="auto"/>
          <w:sz w:val="24"/>
          <w:szCs w:val="24"/>
        </w:rPr>
        <w:t>1</w:t>
      </w:r>
      <w:r w:rsidR="00713AF0" w:rsidRPr="00394053">
        <w:rPr>
          <w:i w:val="0"/>
          <w:color w:val="auto"/>
          <w:sz w:val="24"/>
          <w:szCs w:val="24"/>
        </w:rPr>
        <w:fldChar w:fldCharType="end"/>
      </w:r>
      <w:bookmarkEnd w:id="224"/>
      <w:r w:rsidR="004A6369">
        <w:rPr>
          <w:i w:val="0"/>
          <w:color w:val="auto"/>
          <w:sz w:val="24"/>
          <w:szCs w:val="24"/>
        </w:rPr>
        <w:t xml:space="preserve"> </w:t>
      </w:r>
      <w:r w:rsidRPr="00394053">
        <w:rPr>
          <w:i w:val="0"/>
          <w:color w:val="auto"/>
          <w:sz w:val="24"/>
          <w:szCs w:val="24"/>
        </w:rPr>
        <w:t>Security Context Parameters and Results</w:t>
      </w:r>
      <w:bookmarkEnd w:id="2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643"/>
        <w:gridCol w:w="4042"/>
        <w:gridCol w:w="2500"/>
      </w:tblGrid>
      <w:tr w:rsidR="001C59C9" w:rsidRPr="001B79CE" w14:paraId="2955F3F3" w14:textId="77777777" w:rsidTr="00394053">
        <w:trPr>
          <w:jc w:val="center"/>
        </w:trPr>
        <w:tc>
          <w:tcPr>
            <w:tcW w:w="805" w:type="dxa"/>
            <w:shd w:val="clear" w:color="auto" w:fill="3366FF"/>
          </w:tcPr>
          <w:p w14:paraId="01CEDB65" w14:textId="77777777" w:rsidR="001C59C9" w:rsidRPr="00E51114" w:rsidRDefault="001C59C9" w:rsidP="000D31EB">
            <w:pPr>
              <w:pStyle w:val="TableCell--Coding"/>
              <w:keepNext/>
              <w:jc w:val="center"/>
              <w:rPr>
                <w:rFonts w:ascii="Times New Roman" w:hAnsi="Times New Roman" w:cs="Times New Roman"/>
                <w:b/>
                <w:color w:val="FFFFFF"/>
                <w:sz w:val="24"/>
                <w:szCs w:val="24"/>
              </w:rPr>
            </w:pPr>
            <w:r w:rsidRPr="00E51114">
              <w:rPr>
                <w:rFonts w:ascii="Times New Roman" w:hAnsi="Times New Roman" w:cs="Times New Roman"/>
                <w:b/>
                <w:color w:val="FFFFFF"/>
                <w:sz w:val="24"/>
                <w:szCs w:val="24"/>
              </w:rPr>
              <w:t>Type</w:t>
            </w:r>
          </w:p>
        </w:tc>
        <w:tc>
          <w:tcPr>
            <w:tcW w:w="1643" w:type="dxa"/>
            <w:shd w:val="clear" w:color="auto" w:fill="3366FF"/>
          </w:tcPr>
          <w:p w14:paraId="77C37054" w14:textId="77777777" w:rsidR="001C59C9" w:rsidRPr="00E51114" w:rsidRDefault="001C59C9" w:rsidP="000D31EB">
            <w:pPr>
              <w:pStyle w:val="TableCell--Coding"/>
              <w:keepNext/>
              <w:jc w:val="center"/>
              <w:rPr>
                <w:rFonts w:ascii="Times New Roman" w:hAnsi="Times New Roman" w:cs="Times New Roman"/>
                <w:b/>
                <w:color w:val="FFFFFF"/>
                <w:sz w:val="24"/>
                <w:szCs w:val="24"/>
              </w:rPr>
            </w:pPr>
            <w:r w:rsidRPr="00E51114">
              <w:rPr>
                <w:rFonts w:ascii="Times New Roman" w:hAnsi="Times New Roman" w:cs="Times New Roman"/>
                <w:b/>
                <w:color w:val="FFFFFF"/>
                <w:sz w:val="24"/>
                <w:szCs w:val="24"/>
              </w:rPr>
              <w:t>Name</w:t>
            </w:r>
          </w:p>
        </w:tc>
        <w:tc>
          <w:tcPr>
            <w:tcW w:w="0" w:type="auto"/>
            <w:shd w:val="clear" w:color="auto" w:fill="3366FF"/>
          </w:tcPr>
          <w:p w14:paraId="1FB94107" w14:textId="77777777" w:rsidR="001C59C9" w:rsidRPr="00E51114" w:rsidRDefault="001C59C9" w:rsidP="000D31EB">
            <w:pPr>
              <w:pStyle w:val="TableCell--Coding"/>
              <w:keepNext/>
              <w:jc w:val="center"/>
              <w:rPr>
                <w:rFonts w:ascii="Times New Roman" w:hAnsi="Times New Roman" w:cs="Times New Roman"/>
                <w:b/>
                <w:color w:val="FFFFFF"/>
                <w:sz w:val="24"/>
                <w:szCs w:val="24"/>
              </w:rPr>
            </w:pPr>
            <w:r w:rsidRPr="00E51114">
              <w:rPr>
                <w:rFonts w:ascii="Times New Roman" w:hAnsi="Times New Roman" w:cs="Times New Roman"/>
                <w:b/>
                <w:color w:val="FFFFFF"/>
                <w:sz w:val="24"/>
                <w:szCs w:val="24"/>
              </w:rPr>
              <w:t>Description</w:t>
            </w:r>
          </w:p>
        </w:tc>
        <w:tc>
          <w:tcPr>
            <w:tcW w:w="0" w:type="auto"/>
            <w:shd w:val="clear" w:color="auto" w:fill="3366FF"/>
          </w:tcPr>
          <w:p w14:paraId="21007359" w14:textId="77777777" w:rsidR="001C59C9" w:rsidRPr="00E51114" w:rsidRDefault="001C59C9" w:rsidP="000D31EB">
            <w:pPr>
              <w:pStyle w:val="TableCell--Coding"/>
              <w:keepNext/>
              <w:jc w:val="center"/>
              <w:rPr>
                <w:rFonts w:ascii="Times New Roman" w:hAnsi="Times New Roman" w:cs="Times New Roman"/>
                <w:b/>
                <w:color w:val="FFFFFF"/>
                <w:sz w:val="24"/>
                <w:szCs w:val="24"/>
              </w:rPr>
            </w:pPr>
            <w:r w:rsidRPr="00E51114">
              <w:rPr>
                <w:rFonts w:ascii="Times New Roman" w:hAnsi="Times New Roman" w:cs="Times New Roman"/>
                <w:b/>
                <w:color w:val="FFFFFF"/>
                <w:sz w:val="24"/>
                <w:szCs w:val="24"/>
              </w:rPr>
              <w:t>Field</w:t>
            </w:r>
          </w:p>
        </w:tc>
      </w:tr>
      <w:tr w:rsidR="001C59C9" w:rsidRPr="001B79CE" w14:paraId="4630F2C1" w14:textId="77777777" w:rsidTr="00394053">
        <w:trPr>
          <w:jc w:val="center"/>
        </w:trPr>
        <w:tc>
          <w:tcPr>
            <w:tcW w:w="805" w:type="dxa"/>
            <w:shd w:val="clear" w:color="auto" w:fill="auto"/>
          </w:tcPr>
          <w:p w14:paraId="617C8A37"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0</w:t>
            </w:r>
          </w:p>
        </w:tc>
        <w:tc>
          <w:tcPr>
            <w:tcW w:w="1643" w:type="dxa"/>
            <w:shd w:val="clear" w:color="auto" w:fill="auto"/>
          </w:tcPr>
          <w:p w14:paraId="01CF5120"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Reserved</w:t>
            </w:r>
          </w:p>
        </w:tc>
        <w:tc>
          <w:tcPr>
            <w:tcW w:w="0" w:type="auto"/>
            <w:shd w:val="clear" w:color="auto" w:fill="auto"/>
          </w:tcPr>
          <w:p w14:paraId="0967F6BF" w14:textId="77777777" w:rsidR="001C59C9" w:rsidRPr="00E51114" w:rsidRDefault="001C59C9" w:rsidP="000D31EB">
            <w:pPr>
              <w:pStyle w:val="TableCell--Coding"/>
              <w:keepNext/>
              <w:jc w:val="center"/>
              <w:rPr>
                <w:rFonts w:ascii="Times New Roman" w:hAnsi="Times New Roman" w:cs="Times New Roman"/>
                <w:sz w:val="24"/>
                <w:szCs w:val="24"/>
              </w:rPr>
            </w:pPr>
          </w:p>
        </w:tc>
        <w:tc>
          <w:tcPr>
            <w:tcW w:w="0" w:type="auto"/>
          </w:tcPr>
          <w:p w14:paraId="7471A0C1" w14:textId="77777777" w:rsidR="001C59C9" w:rsidRPr="00E51114" w:rsidRDefault="001C59C9" w:rsidP="000D31EB">
            <w:pPr>
              <w:pStyle w:val="TableCell--Coding"/>
              <w:keepNext/>
              <w:jc w:val="center"/>
              <w:rPr>
                <w:rFonts w:ascii="Times New Roman" w:hAnsi="Times New Roman" w:cs="Times New Roman"/>
                <w:sz w:val="24"/>
                <w:szCs w:val="24"/>
              </w:rPr>
            </w:pPr>
          </w:p>
        </w:tc>
      </w:tr>
      <w:tr w:rsidR="001C59C9" w:rsidRPr="001B79CE" w14:paraId="1F622E75" w14:textId="77777777" w:rsidTr="00394053">
        <w:trPr>
          <w:jc w:val="center"/>
        </w:trPr>
        <w:tc>
          <w:tcPr>
            <w:tcW w:w="805" w:type="dxa"/>
            <w:shd w:val="clear" w:color="auto" w:fill="auto"/>
          </w:tcPr>
          <w:p w14:paraId="5EDDC156"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1</w:t>
            </w:r>
          </w:p>
        </w:tc>
        <w:tc>
          <w:tcPr>
            <w:tcW w:w="1643" w:type="dxa"/>
            <w:shd w:val="clear" w:color="auto" w:fill="auto"/>
          </w:tcPr>
          <w:p w14:paraId="7C4ED74E"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Initialization Vector (IV)</w:t>
            </w:r>
          </w:p>
        </w:tc>
        <w:tc>
          <w:tcPr>
            <w:tcW w:w="0" w:type="auto"/>
            <w:shd w:val="clear" w:color="auto" w:fill="auto"/>
          </w:tcPr>
          <w:p w14:paraId="77A6CE15"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A random value, typically eight to sixteen bytes.</w:t>
            </w:r>
          </w:p>
        </w:tc>
        <w:tc>
          <w:tcPr>
            <w:tcW w:w="0" w:type="auto"/>
          </w:tcPr>
          <w:p w14:paraId="553CFA7B"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Security Context Parameters</w:t>
            </w:r>
          </w:p>
        </w:tc>
      </w:tr>
      <w:tr w:rsidR="001C59C9" w:rsidRPr="001B79CE" w14:paraId="3DFE702C" w14:textId="77777777" w:rsidTr="00394053">
        <w:trPr>
          <w:jc w:val="center"/>
        </w:trPr>
        <w:tc>
          <w:tcPr>
            <w:tcW w:w="805" w:type="dxa"/>
            <w:shd w:val="clear" w:color="auto" w:fill="auto"/>
          </w:tcPr>
          <w:p w14:paraId="149CF5F4"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2</w:t>
            </w:r>
          </w:p>
        </w:tc>
        <w:tc>
          <w:tcPr>
            <w:tcW w:w="1643" w:type="dxa"/>
            <w:shd w:val="clear" w:color="auto" w:fill="auto"/>
          </w:tcPr>
          <w:p w14:paraId="64945500"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Reserved</w:t>
            </w:r>
          </w:p>
        </w:tc>
        <w:tc>
          <w:tcPr>
            <w:tcW w:w="0" w:type="auto"/>
            <w:shd w:val="clear" w:color="auto" w:fill="auto"/>
          </w:tcPr>
          <w:p w14:paraId="298DC628" w14:textId="77777777" w:rsidR="001C59C9" w:rsidRPr="00E51114" w:rsidRDefault="001C59C9" w:rsidP="000D31EB">
            <w:pPr>
              <w:pStyle w:val="TableCell--Coding"/>
              <w:keepNext/>
              <w:jc w:val="center"/>
              <w:rPr>
                <w:rFonts w:ascii="Times New Roman" w:hAnsi="Times New Roman" w:cs="Times New Roman"/>
                <w:sz w:val="24"/>
                <w:szCs w:val="24"/>
              </w:rPr>
            </w:pPr>
          </w:p>
        </w:tc>
        <w:tc>
          <w:tcPr>
            <w:tcW w:w="0" w:type="auto"/>
          </w:tcPr>
          <w:p w14:paraId="3EF7A840" w14:textId="77777777" w:rsidR="001C59C9" w:rsidRPr="00E51114" w:rsidRDefault="001C59C9" w:rsidP="000D31EB">
            <w:pPr>
              <w:pStyle w:val="TableCell--Coding"/>
              <w:keepNext/>
              <w:jc w:val="center"/>
              <w:rPr>
                <w:rFonts w:ascii="Times New Roman" w:hAnsi="Times New Roman" w:cs="Times New Roman"/>
                <w:sz w:val="24"/>
                <w:szCs w:val="24"/>
              </w:rPr>
            </w:pPr>
          </w:p>
        </w:tc>
      </w:tr>
      <w:tr w:rsidR="001C59C9" w:rsidRPr="001B79CE" w14:paraId="1FF7D96F" w14:textId="77777777" w:rsidTr="00394053">
        <w:trPr>
          <w:jc w:val="center"/>
        </w:trPr>
        <w:tc>
          <w:tcPr>
            <w:tcW w:w="805" w:type="dxa"/>
            <w:shd w:val="clear" w:color="auto" w:fill="auto"/>
          </w:tcPr>
          <w:p w14:paraId="6522286A" w14:textId="77777777" w:rsidR="001C59C9" w:rsidRPr="00E51114" w:rsidRDefault="001C59C9" w:rsidP="000D31EB">
            <w:pPr>
              <w:pStyle w:val="TableCell--Coding"/>
              <w:keepNext/>
              <w:jc w:val="center"/>
              <w:rPr>
                <w:rFonts w:ascii="Times New Roman" w:hAnsi="Times New Roman" w:cs="Times New Roman"/>
                <w:sz w:val="24"/>
                <w:szCs w:val="24"/>
              </w:rPr>
            </w:pPr>
            <w:commentRangeStart w:id="226"/>
            <w:r w:rsidRPr="00E51114">
              <w:rPr>
                <w:rFonts w:ascii="Times New Roman" w:hAnsi="Times New Roman" w:cs="Times New Roman"/>
                <w:sz w:val="24"/>
                <w:szCs w:val="24"/>
              </w:rPr>
              <w:t>3</w:t>
            </w:r>
          </w:p>
        </w:tc>
        <w:tc>
          <w:tcPr>
            <w:tcW w:w="1643" w:type="dxa"/>
            <w:shd w:val="clear" w:color="auto" w:fill="auto"/>
          </w:tcPr>
          <w:p w14:paraId="6A7561F1"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Key Information</w:t>
            </w:r>
          </w:p>
        </w:tc>
        <w:tc>
          <w:tcPr>
            <w:tcW w:w="0" w:type="auto"/>
            <w:shd w:val="clear" w:color="auto" w:fill="auto"/>
          </w:tcPr>
          <w:p w14:paraId="343B48EC"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Material encoded or protected by the key management system and used to transport an ephemeral key protected by a long-term key.</w:t>
            </w:r>
          </w:p>
        </w:tc>
        <w:tc>
          <w:tcPr>
            <w:tcW w:w="0" w:type="auto"/>
          </w:tcPr>
          <w:p w14:paraId="61694E90"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Security Context Parameters</w:t>
            </w:r>
            <w:commentRangeEnd w:id="226"/>
            <w:r w:rsidRPr="00E51114">
              <w:rPr>
                <w:rStyle w:val="CommentReference"/>
                <w:rFonts w:ascii="Times New Roman" w:eastAsia="Times New Roman" w:hAnsi="Times New Roman" w:cs="Times New Roman"/>
                <w:kern w:val="0"/>
                <w:sz w:val="24"/>
                <w:szCs w:val="24"/>
                <w:lang w:eastAsia="en-US"/>
              </w:rPr>
              <w:commentReference w:id="226"/>
            </w:r>
          </w:p>
        </w:tc>
      </w:tr>
      <w:tr w:rsidR="001C59C9" w:rsidRPr="001B79CE" w14:paraId="782FE2D5" w14:textId="77777777" w:rsidTr="00394053">
        <w:trPr>
          <w:jc w:val="center"/>
        </w:trPr>
        <w:tc>
          <w:tcPr>
            <w:tcW w:w="805" w:type="dxa"/>
            <w:shd w:val="clear" w:color="auto" w:fill="auto"/>
          </w:tcPr>
          <w:p w14:paraId="025D391E"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4</w:t>
            </w:r>
          </w:p>
        </w:tc>
        <w:tc>
          <w:tcPr>
            <w:tcW w:w="1643" w:type="dxa"/>
            <w:shd w:val="clear" w:color="auto" w:fill="auto"/>
          </w:tcPr>
          <w:p w14:paraId="4D64D371"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Reserved</w:t>
            </w:r>
          </w:p>
        </w:tc>
        <w:tc>
          <w:tcPr>
            <w:tcW w:w="0" w:type="auto"/>
            <w:shd w:val="clear" w:color="auto" w:fill="auto"/>
          </w:tcPr>
          <w:p w14:paraId="301081F3" w14:textId="77777777" w:rsidR="001C59C9" w:rsidRPr="00E51114" w:rsidRDefault="001C59C9" w:rsidP="000D31EB">
            <w:pPr>
              <w:pStyle w:val="TableCell--Coding"/>
              <w:keepNext/>
              <w:jc w:val="center"/>
              <w:rPr>
                <w:rFonts w:ascii="Times New Roman" w:hAnsi="Times New Roman" w:cs="Times New Roman"/>
                <w:sz w:val="24"/>
                <w:szCs w:val="24"/>
              </w:rPr>
            </w:pPr>
          </w:p>
        </w:tc>
        <w:tc>
          <w:tcPr>
            <w:tcW w:w="0" w:type="auto"/>
          </w:tcPr>
          <w:p w14:paraId="04562757" w14:textId="77777777" w:rsidR="001C59C9" w:rsidRPr="00E51114" w:rsidRDefault="001C59C9" w:rsidP="000D31EB">
            <w:pPr>
              <w:pStyle w:val="TableCell--Coding"/>
              <w:keepNext/>
              <w:jc w:val="center"/>
              <w:rPr>
                <w:rFonts w:ascii="Times New Roman" w:hAnsi="Times New Roman" w:cs="Times New Roman"/>
                <w:sz w:val="24"/>
                <w:szCs w:val="24"/>
              </w:rPr>
            </w:pPr>
          </w:p>
        </w:tc>
      </w:tr>
      <w:tr w:rsidR="001C59C9" w:rsidRPr="001B79CE" w14:paraId="177AB0D0" w14:textId="77777777" w:rsidTr="00394053">
        <w:trPr>
          <w:jc w:val="center"/>
        </w:trPr>
        <w:tc>
          <w:tcPr>
            <w:tcW w:w="805" w:type="dxa"/>
            <w:shd w:val="clear" w:color="auto" w:fill="auto"/>
          </w:tcPr>
          <w:p w14:paraId="601E085A"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5</w:t>
            </w:r>
          </w:p>
        </w:tc>
        <w:tc>
          <w:tcPr>
            <w:tcW w:w="1643" w:type="dxa"/>
            <w:shd w:val="clear" w:color="auto" w:fill="auto"/>
          </w:tcPr>
          <w:p w14:paraId="7B335203"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Integrity Signature</w:t>
            </w:r>
          </w:p>
        </w:tc>
        <w:tc>
          <w:tcPr>
            <w:tcW w:w="0" w:type="auto"/>
            <w:shd w:val="clear" w:color="auto" w:fill="auto"/>
          </w:tcPr>
          <w:p w14:paraId="7ADE3DD0"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Output from the HMAC calculation over the BIB target block at the security source.</w:t>
            </w:r>
          </w:p>
        </w:tc>
        <w:tc>
          <w:tcPr>
            <w:tcW w:w="0" w:type="auto"/>
          </w:tcPr>
          <w:p w14:paraId="3AF6572A"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Security Results</w:t>
            </w:r>
          </w:p>
        </w:tc>
      </w:tr>
      <w:tr w:rsidR="001C59C9" w:rsidRPr="001B79CE" w14:paraId="7792D73B" w14:textId="77777777" w:rsidTr="00394053">
        <w:trPr>
          <w:jc w:val="center"/>
        </w:trPr>
        <w:tc>
          <w:tcPr>
            <w:tcW w:w="805" w:type="dxa"/>
            <w:shd w:val="clear" w:color="auto" w:fill="auto"/>
          </w:tcPr>
          <w:p w14:paraId="58DDEB23"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6</w:t>
            </w:r>
          </w:p>
        </w:tc>
        <w:tc>
          <w:tcPr>
            <w:tcW w:w="1643" w:type="dxa"/>
            <w:shd w:val="clear" w:color="auto" w:fill="auto"/>
          </w:tcPr>
          <w:p w14:paraId="549273CE"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Reserved</w:t>
            </w:r>
          </w:p>
        </w:tc>
        <w:tc>
          <w:tcPr>
            <w:tcW w:w="0" w:type="auto"/>
            <w:shd w:val="clear" w:color="auto" w:fill="auto"/>
          </w:tcPr>
          <w:p w14:paraId="11719ABA" w14:textId="77777777" w:rsidR="001C59C9" w:rsidRPr="00E51114" w:rsidRDefault="001C59C9" w:rsidP="000D31EB">
            <w:pPr>
              <w:pStyle w:val="TableCell--Coding"/>
              <w:keepNext/>
              <w:jc w:val="center"/>
              <w:rPr>
                <w:rFonts w:ascii="Times New Roman" w:hAnsi="Times New Roman" w:cs="Times New Roman"/>
                <w:sz w:val="24"/>
                <w:szCs w:val="24"/>
              </w:rPr>
            </w:pPr>
          </w:p>
        </w:tc>
        <w:tc>
          <w:tcPr>
            <w:tcW w:w="0" w:type="auto"/>
          </w:tcPr>
          <w:p w14:paraId="4E4992D5" w14:textId="77777777" w:rsidR="001C59C9" w:rsidRPr="00E51114" w:rsidRDefault="001C59C9" w:rsidP="000D31EB">
            <w:pPr>
              <w:pStyle w:val="TableCell--Coding"/>
              <w:keepNext/>
              <w:jc w:val="center"/>
              <w:rPr>
                <w:rFonts w:ascii="Times New Roman" w:hAnsi="Times New Roman" w:cs="Times New Roman"/>
                <w:sz w:val="24"/>
                <w:szCs w:val="24"/>
              </w:rPr>
            </w:pPr>
          </w:p>
        </w:tc>
      </w:tr>
      <w:tr w:rsidR="001C59C9" w:rsidRPr="001B79CE" w14:paraId="368D330B" w14:textId="77777777" w:rsidTr="00394053">
        <w:trPr>
          <w:jc w:val="center"/>
        </w:trPr>
        <w:tc>
          <w:tcPr>
            <w:tcW w:w="805" w:type="dxa"/>
            <w:shd w:val="clear" w:color="auto" w:fill="auto"/>
          </w:tcPr>
          <w:p w14:paraId="5757FB2D"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7</w:t>
            </w:r>
          </w:p>
        </w:tc>
        <w:tc>
          <w:tcPr>
            <w:tcW w:w="1643" w:type="dxa"/>
            <w:shd w:val="clear" w:color="auto" w:fill="auto"/>
          </w:tcPr>
          <w:p w14:paraId="654BDA37"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Reserved</w:t>
            </w:r>
          </w:p>
        </w:tc>
        <w:tc>
          <w:tcPr>
            <w:tcW w:w="0" w:type="auto"/>
            <w:shd w:val="clear" w:color="auto" w:fill="auto"/>
          </w:tcPr>
          <w:p w14:paraId="29FF6D43" w14:textId="77777777" w:rsidR="001C59C9" w:rsidRPr="00E51114" w:rsidRDefault="001C59C9" w:rsidP="000D31EB">
            <w:pPr>
              <w:pStyle w:val="TableCell--Coding"/>
              <w:keepNext/>
              <w:jc w:val="center"/>
              <w:rPr>
                <w:rFonts w:ascii="Times New Roman" w:hAnsi="Times New Roman" w:cs="Times New Roman"/>
                <w:strike/>
                <w:sz w:val="24"/>
                <w:szCs w:val="24"/>
              </w:rPr>
            </w:pPr>
          </w:p>
        </w:tc>
        <w:tc>
          <w:tcPr>
            <w:tcW w:w="0" w:type="auto"/>
          </w:tcPr>
          <w:p w14:paraId="470F71CA" w14:textId="77777777" w:rsidR="001C59C9" w:rsidRPr="00E51114" w:rsidRDefault="001C59C9" w:rsidP="000D31EB">
            <w:pPr>
              <w:pStyle w:val="TableCell--Coding"/>
              <w:keepNext/>
              <w:jc w:val="center"/>
              <w:rPr>
                <w:rFonts w:ascii="Times New Roman" w:hAnsi="Times New Roman" w:cs="Times New Roman"/>
                <w:strike/>
                <w:sz w:val="24"/>
                <w:szCs w:val="24"/>
              </w:rPr>
            </w:pPr>
          </w:p>
        </w:tc>
      </w:tr>
      <w:tr w:rsidR="001C59C9" w:rsidRPr="001B79CE" w14:paraId="4E9F8A69" w14:textId="77777777" w:rsidTr="00394053">
        <w:trPr>
          <w:jc w:val="center"/>
        </w:trPr>
        <w:tc>
          <w:tcPr>
            <w:tcW w:w="805" w:type="dxa"/>
            <w:shd w:val="clear" w:color="auto" w:fill="auto"/>
          </w:tcPr>
          <w:p w14:paraId="61EBEC9C"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8</w:t>
            </w:r>
          </w:p>
        </w:tc>
        <w:tc>
          <w:tcPr>
            <w:tcW w:w="1643" w:type="dxa"/>
            <w:shd w:val="clear" w:color="auto" w:fill="auto"/>
          </w:tcPr>
          <w:p w14:paraId="32E0FEAE"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Authentication Tag</w:t>
            </w:r>
          </w:p>
        </w:tc>
        <w:tc>
          <w:tcPr>
            <w:tcW w:w="0" w:type="auto"/>
            <w:shd w:val="clear" w:color="auto" w:fill="auto"/>
          </w:tcPr>
          <w:p w14:paraId="7C972329"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Output from the AES-GCM-256 cipher. This result is used at the security acceptor to verify that the protected data has not been modified.</w:t>
            </w:r>
          </w:p>
        </w:tc>
        <w:tc>
          <w:tcPr>
            <w:tcW w:w="0" w:type="auto"/>
          </w:tcPr>
          <w:p w14:paraId="4D2CE6D0" w14:textId="77777777" w:rsidR="001C59C9" w:rsidRPr="00E51114" w:rsidRDefault="001C59C9" w:rsidP="000D31EB">
            <w:pPr>
              <w:pStyle w:val="TableCell--Coding"/>
              <w:keepNext/>
              <w:jc w:val="center"/>
              <w:rPr>
                <w:rFonts w:ascii="Times New Roman" w:hAnsi="Times New Roman" w:cs="Times New Roman"/>
                <w:sz w:val="24"/>
                <w:szCs w:val="24"/>
              </w:rPr>
            </w:pPr>
            <w:r w:rsidRPr="00E51114">
              <w:rPr>
                <w:rFonts w:ascii="Times New Roman" w:hAnsi="Times New Roman" w:cs="Times New Roman"/>
                <w:sz w:val="24"/>
                <w:szCs w:val="24"/>
              </w:rPr>
              <w:t>Security Results</w:t>
            </w:r>
          </w:p>
        </w:tc>
      </w:tr>
      <w:tr w:rsidR="001C59C9" w:rsidRPr="001B79CE" w14:paraId="3E69B296" w14:textId="77777777" w:rsidTr="00394053">
        <w:trPr>
          <w:jc w:val="center"/>
        </w:trPr>
        <w:tc>
          <w:tcPr>
            <w:tcW w:w="805" w:type="dxa"/>
            <w:shd w:val="clear" w:color="auto" w:fill="auto"/>
          </w:tcPr>
          <w:p w14:paraId="598DB79C" w14:textId="77777777" w:rsidR="001C59C9" w:rsidRPr="00E51114" w:rsidRDefault="001C59C9" w:rsidP="000D31EB">
            <w:pPr>
              <w:pStyle w:val="TableCell--Coding"/>
              <w:jc w:val="center"/>
              <w:rPr>
                <w:rFonts w:ascii="Times New Roman" w:hAnsi="Times New Roman" w:cs="Times New Roman"/>
                <w:sz w:val="24"/>
                <w:szCs w:val="24"/>
              </w:rPr>
            </w:pPr>
            <w:r w:rsidRPr="00E51114">
              <w:rPr>
                <w:rFonts w:ascii="Times New Roman" w:hAnsi="Times New Roman" w:cs="Times New Roman"/>
                <w:sz w:val="24"/>
                <w:szCs w:val="24"/>
              </w:rPr>
              <w:t>9-255</w:t>
            </w:r>
          </w:p>
        </w:tc>
        <w:tc>
          <w:tcPr>
            <w:tcW w:w="1643" w:type="dxa"/>
            <w:shd w:val="clear" w:color="auto" w:fill="auto"/>
          </w:tcPr>
          <w:p w14:paraId="2CC9B0DE" w14:textId="77777777" w:rsidR="001C59C9" w:rsidRPr="00E51114" w:rsidRDefault="001C59C9" w:rsidP="000D31EB">
            <w:pPr>
              <w:pStyle w:val="TableCell--Coding"/>
              <w:jc w:val="center"/>
              <w:rPr>
                <w:rFonts w:ascii="Times New Roman" w:hAnsi="Times New Roman" w:cs="Times New Roman"/>
                <w:sz w:val="24"/>
                <w:szCs w:val="24"/>
              </w:rPr>
            </w:pPr>
            <w:r w:rsidRPr="00E51114">
              <w:rPr>
                <w:rFonts w:ascii="Times New Roman" w:hAnsi="Times New Roman" w:cs="Times New Roman"/>
                <w:sz w:val="24"/>
                <w:szCs w:val="24"/>
              </w:rPr>
              <w:t>Reserved</w:t>
            </w:r>
          </w:p>
        </w:tc>
        <w:tc>
          <w:tcPr>
            <w:tcW w:w="0" w:type="auto"/>
            <w:shd w:val="clear" w:color="auto" w:fill="auto"/>
          </w:tcPr>
          <w:p w14:paraId="5092FC47" w14:textId="77777777" w:rsidR="001C59C9" w:rsidRPr="00E51114" w:rsidRDefault="001C59C9" w:rsidP="000D31EB">
            <w:pPr>
              <w:pStyle w:val="TableCell--Coding"/>
              <w:jc w:val="center"/>
              <w:rPr>
                <w:rFonts w:ascii="Times New Roman" w:hAnsi="Times New Roman" w:cs="Times New Roman"/>
                <w:sz w:val="24"/>
                <w:szCs w:val="24"/>
              </w:rPr>
            </w:pPr>
          </w:p>
        </w:tc>
        <w:tc>
          <w:tcPr>
            <w:tcW w:w="0" w:type="auto"/>
          </w:tcPr>
          <w:p w14:paraId="31E52282" w14:textId="77777777" w:rsidR="001C59C9" w:rsidRPr="00E51114" w:rsidRDefault="001C59C9" w:rsidP="000D31EB">
            <w:pPr>
              <w:pStyle w:val="TableCell--Coding"/>
              <w:jc w:val="center"/>
              <w:rPr>
                <w:rFonts w:ascii="Times New Roman" w:hAnsi="Times New Roman" w:cs="Times New Roman"/>
                <w:sz w:val="24"/>
                <w:szCs w:val="24"/>
              </w:rPr>
            </w:pPr>
          </w:p>
        </w:tc>
      </w:tr>
    </w:tbl>
    <w:p w14:paraId="7049ACBB" w14:textId="77777777" w:rsidR="00CC29EA" w:rsidRPr="00BA615E" w:rsidRDefault="00CC29EA" w:rsidP="00CC29EA"/>
    <w:p w14:paraId="3FDD46A8" w14:textId="77777777" w:rsidR="00CC29EA" w:rsidRPr="00394053" w:rsidRDefault="00CC29EA" w:rsidP="00394053"/>
    <w:p w14:paraId="54955B03" w14:textId="6A7BA56E" w:rsidR="0056616F" w:rsidRDefault="0056616F" w:rsidP="00394053">
      <w:bookmarkStart w:id="227" w:name="_GoBack"/>
      <w:bookmarkEnd w:id="227"/>
    </w:p>
    <w:sectPr w:rsidR="0056616F" w:rsidSect="00A32DEB">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5" w:author="Scott, Keith L." w:date="2019-11-27T11:43:00Z" w:initials="SKL">
    <w:p w14:paraId="5F4645A2" w14:textId="77777777" w:rsidR="000D31EB" w:rsidRDefault="000D31EB" w:rsidP="002432F8">
      <w:pPr>
        <w:pStyle w:val="CommentText"/>
      </w:pPr>
      <w:r>
        <w:rPr>
          <w:rStyle w:val="CommentReference"/>
        </w:rPr>
        <w:annotationRef/>
      </w:r>
      <w:r>
        <w:t>[Ignacio Aguilar]</w:t>
      </w:r>
    </w:p>
    <w:p w14:paraId="25EA4BB1" w14:textId="77777777" w:rsidR="000D31EB" w:rsidRDefault="000D31EB" w:rsidP="002432F8">
      <w:pPr>
        <w:pStyle w:val="CommentText"/>
      </w:pPr>
      <w:r>
        <w:t>If I try to mirror the wording used in SDLS, the first paragraph could read something like that:</w:t>
      </w:r>
    </w:p>
    <w:p w14:paraId="28669819" w14:textId="77777777" w:rsidR="000D31EB" w:rsidRDefault="000D31EB" w:rsidP="002432F8">
      <w:pPr>
        <w:pStyle w:val="CommentText"/>
      </w:pPr>
    </w:p>
    <w:p w14:paraId="02E5C5E9" w14:textId="77777777" w:rsidR="000D31EB" w:rsidRDefault="000D31EB" w:rsidP="002432F8">
      <w:pPr>
        <w:pStyle w:val="CommentText"/>
      </w:pPr>
      <w:r>
        <w:t>The purpose of this Recommended Standard is to specify the Streamlined Bundle Security Protocol for CCSDS for…</w:t>
      </w:r>
    </w:p>
    <w:p w14:paraId="43E6326B" w14:textId="77777777" w:rsidR="000D31EB" w:rsidRDefault="000D31EB" w:rsidP="002432F8">
      <w:pPr>
        <w:pStyle w:val="CommentText"/>
      </w:pPr>
      <w:r>
        <w:t>-</w:t>
      </w:r>
      <w:r>
        <w:tab/>
        <w:t xml:space="preserve"> Option 1: delay-tolerant networks (DTNs)</w:t>
      </w:r>
    </w:p>
    <w:p w14:paraId="7129043E" w14:textId="77777777" w:rsidR="000D31EB" w:rsidRDefault="000D31EB" w:rsidP="002432F8">
      <w:pPr>
        <w:pStyle w:val="CommentText"/>
      </w:pPr>
      <w:r>
        <w:t>-</w:t>
      </w:r>
      <w:r>
        <w:tab/>
        <w:t xml:space="preserve"> Option 2: bundle transactions across a DTN</w:t>
      </w:r>
    </w:p>
    <w:p w14:paraId="4D94B968" w14:textId="77777777" w:rsidR="000D31EB" w:rsidRDefault="000D31EB" w:rsidP="002432F8">
      <w:pPr>
        <w:pStyle w:val="CommentText"/>
      </w:pPr>
    </w:p>
    <w:p w14:paraId="5D99A06C" w14:textId="77777777" w:rsidR="000D31EB" w:rsidRDefault="000D31EB" w:rsidP="002432F8">
      <w:pPr>
        <w:pStyle w:val="CommentText"/>
      </w:pPr>
      <w:r>
        <w:t>This protocol provides Bundle Protocol extension blocks with associated procedures that may be used with</w:t>
      </w:r>
    </w:p>
    <w:p w14:paraId="69AC40AC" w14:textId="77777777" w:rsidR="000D31EB" w:rsidRDefault="000D31EB" w:rsidP="002432F8">
      <w:pPr>
        <w:pStyle w:val="CommentText"/>
      </w:pPr>
      <w:r>
        <w:t>the CCSDS Bundle Protocol (reference [1]) to provide a structured method for applying data authentication and/or data confidentiality at the network(?) layer.</w:t>
      </w:r>
    </w:p>
  </w:comment>
  <w:comment w:id="47" w:author="Scott, Keith L." w:date="2019-11-27T11:44:00Z" w:initials="SKL">
    <w:p w14:paraId="103A06D7" w14:textId="77777777" w:rsidR="000D31EB" w:rsidRDefault="000D31EB" w:rsidP="002432F8">
      <w:pPr>
        <w:pStyle w:val="CommentText"/>
      </w:pPr>
      <w:r>
        <w:rPr>
          <w:rStyle w:val="CommentReference"/>
        </w:rPr>
        <w:annotationRef/>
      </w:r>
      <w:r>
        <w:t>[Ignacio Aguilar]</w:t>
      </w:r>
    </w:p>
    <w:p w14:paraId="1D251F5A" w14:textId="77777777" w:rsidR="000D31EB" w:rsidRDefault="000D31EB" w:rsidP="002432F8">
      <w:pPr>
        <w:pStyle w:val="CommentText"/>
      </w:pPr>
      <w:r>
        <w:t>Compare and contrast with section 1.2 of CCSDS SDLS. If mirrored, it could read something like this:</w:t>
      </w:r>
    </w:p>
    <w:p w14:paraId="343090D8" w14:textId="77777777" w:rsidR="000D31EB" w:rsidRDefault="000D31EB" w:rsidP="002432F8">
      <w:pPr>
        <w:pStyle w:val="CommentText"/>
      </w:pPr>
    </w:p>
    <w:p w14:paraId="46317D71" w14:textId="77777777" w:rsidR="000D31EB" w:rsidRDefault="000D31EB" w:rsidP="002432F8">
      <w:pPr>
        <w:pStyle w:val="CommentText"/>
      </w:pPr>
      <w:r>
        <w:t>This Recommended Standard defines the Security Protocol in terms of:</w:t>
      </w:r>
    </w:p>
    <w:p w14:paraId="73A6431F" w14:textId="77777777" w:rsidR="000D31EB" w:rsidRDefault="000D31EB" w:rsidP="002432F8">
      <w:pPr>
        <w:pStyle w:val="CommentText"/>
      </w:pPr>
      <w:r>
        <w:t>a)</w:t>
      </w:r>
      <w:r>
        <w:tab/>
        <w:t xml:space="preserve"> the protocol data units employed by the service provider; and</w:t>
      </w:r>
    </w:p>
    <w:p w14:paraId="4C69EBC1" w14:textId="77777777" w:rsidR="000D31EB" w:rsidRDefault="000D31EB" w:rsidP="002432F8">
      <w:pPr>
        <w:pStyle w:val="CommentText"/>
      </w:pPr>
      <w:r>
        <w:t>b)</w:t>
      </w:r>
      <w:r>
        <w:tab/>
        <w:t xml:space="preserve"> the procedures performed by the service provider.</w:t>
      </w:r>
    </w:p>
  </w:comment>
  <w:comment w:id="55" w:author="Scott, Keith L." w:date="2019-08-21T10:27:00Z" w:initials="SKL">
    <w:p w14:paraId="34E263B1" w14:textId="77777777" w:rsidR="000D31EB" w:rsidRDefault="000D31EB" w:rsidP="002432F8">
      <w:pPr>
        <w:pStyle w:val="CommentText"/>
      </w:pPr>
      <w:r>
        <w:rPr>
          <w:rStyle w:val="CommentReference"/>
        </w:rPr>
        <w:annotationRef/>
      </w:r>
      <w:r>
        <w:t>SEA-SEC</w:t>
      </w:r>
    </w:p>
    <w:p w14:paraId="6C1744B5" w14:textId="77777777" w:rsidR="000D31EB" w:rsidRDefault="000D31EB" w:rsidP="002432F8">
      <w:pPr>
        <w:pStyle w:val="CommentText"/>
      </w:pPr>
    </w:p>
    <w:p w14:paraId="53B3B190" w14:textId="77777777" w:rsidR="000D31EB" w:rsidRDefault="000D31EB" w:rsidP="002432F8">
      <w:pPr>
        <w:pStyle w:val="CommentText"/>
      </w:pPr>
      <w:r w:rsidRPr="001A5CC7">
        <w:t>The current definition has an issue. In security engineering the notion of a 'security target' has a well-defined meaning under the 'Common Criteria', an international security standard. Alternative terminology would be preferable. A possible replacement: security object.</w:t>
      </w:r>
    </w:p>
  </w:comment>
  <w:comment w:id="66" w:author="Scott, Keith L." w:date="2019-03-08T10:47:00Z" w:initials="SKL">
    <w:p w14:paraId="2FAFCB0A" w14:textId="77777777" w:rsidR="000D31EB" w:rsidRPr="00DB6F63" w:rsidRDefault="000D31EB" w:rsidP="002432F8">
      <w:pPr>
        <w:pStyle w:val="CommentText"/>
      </w:pPr>
      <w:r>
        <w:rPr>
          <w:rStyle w:val="CommentReference"/>
        </w:rPr>
        <w:annotationRef/>
      </w:r>
      <w:r>
        <w:t xml:space="preserve">Add (and appropriately reference) </w:t>
      </w:r>
      <w:hyperlink r:id="rId1" w:tgtFrame="_blank" w:history="1">
        <w:r w:rsidRPr="00DB6F63">
          <w:rPr>
            <w:rStyle w:val="Hyperlink"/>
            <w:b/>
            <w:bCs/>
          </w:rPr>
          <w:t>CCSDS 352.0-B-1</w:t>
        </w:r>
      </w:hyperlink>
      <w:r>
        <w:t xml:space="preserve">, </w:t>
      </w:r>
      <w:r w:rsidRPr="00DB6F63">
        <w:rPr>
          <w:b/>
          <w:bCs/>
          <w:i/>
          <w:iCs/>
        </w:rPr>
        <w:t>CCSDS Cryptographic Algorithms.</w:t>
      </w:r>
    </w:p>
    <w:p w14:paraId="060CFD6D" w14:textId="77777777" w:rsidR="000D31EB" w:rsidRDefault="000D31EB" w:rsidP="002432F8">
      <w:pPr>
        <w:pStyle w:val="CommentText"/>
      </w:pPr>
    </w:p>
  </w:comment>
  <w:comment w:id="67" w:author="Scott, Keith L." w:date="2019-08-19T11:13:00Z" w:initials="SKL">
    <w:p w14:paraId="3B62FA51" w14:textId="77777777" w:rsidR="000D31EB" w:rsidRDefault="000D31EB" w:rsidP="002432F8">
      <w:pPr>
        <w:pStyle w:val="CommentText"/>
      </w:pPr>
      <w:r>
        <w:rPr>
          <w:rStyle w:val="CommentReference"/>
        </w:rPr>
        <w:annotationRef/>
      </w:r>
      <w:r>
        <w:t>Done</w:t>
      </w:r>
    </w:p>
  </w:comment>
  <w:comment w:id="75" w:author="Scott, Keith L." w:date="2019-11-27T16:33:00Z" w:initials="SKL">
    <w:p w14:paraId="6E61B58F" w14:textId="4FB7F9C5" w:rsidR="000D31EB" w:rsidRDefault="000D31EB" w:rsidP="00DC2C02">
      <w:r>
        <w:rPr>
          <w:rStyle w:val="CommentReference"/>
        </w:rPr>
        <w:annotationRef/>
      </w:r>
      <w:r>
        <w:t>&lt;INSERT FIGURE OF OSI REFERNCE MODEL OR ST APPLICABLE&gt;</w:t>
      </w:r>
    </w:p>
  </w:comment>
  <w:comment w:id="90" w:author="Scott, Keith L." w:date="2019-08-21T13:21:00Z" w:initials="SKL">
    <w:p w14:paraId="1B4E33D4" w14:textId="77777777" w:rsidR="000D31EB" w:rsidRDefault="000D31EB" w:rsidP="005464B3">
      <w:pPr>
        <w:pStyle w:val="CommentText"/>
      </w:pPr>
      <w:r>
        <w:rPr>
          <w:rStyle w:val="CommentReference"/>
        </w:rPr>
        <w:annotationRef/>
      </w:r>
      <w:r>
        <w:t>This section is VERY MUCH still in work.  Whether there will be 1 set of functions (</w:t>
      </w:r>
      <w:proofErr w:type="spellStart"/>
      <w:r>
        <w:t>applySecurity</w:t>
      </w:r>
      <w:proofErr w:type="spellEnd"/>
      <w:r>
        <w:t>…) or two sets (</w:t>
      </w:r>
      <w:proofErr w:type="spellStart"/>
      <w:r>
        <w:t>applyConfidentiality</w:t>
      </w:r>
      <w:proofErr w:type="spellEnd"/>
      <w:r>
        <w:t xml:space="preserve">, </w:t>
      </w:r>
      <w:proofErr w:type="spellStart"/>
      <w:r>
        <w:t>applyIntegrity</w:t>
      </w:r>
      <w:proofErr w:type="spellEnd"/>
      <w:r>
        <w:t>…) will depend on whether we try to roll confidentiality and integrity together into a single security service.  That’s TBD which is why I’m not going to do much here right now.</w:t>
      </w:r>
    </w:p>
  </w:comment>
  <w:comment w:id="115" w:author="Keith Scott" w:date="2018-10-16T16:16:00Z" w:initials="KLS">
    <w:p w14:paraId="6BE3427C" w14:textId="77777777" w:rsidR="000D31EB" w:rsidRDefault="000D31EB">
      <w:pPr>
        <w:pStyle w:val="CommentText"/>
      </w:pPr>
      <w:r>
        <w:rPr>
          <w:rStyle w:val="CommentReference"/>
        </w:rPr>
        <w:annotationRef/>
      </w:r>
      <w:r>
        <w:t>Need to keep this in case somebody ELSE has an EID Reference List.</w:t>
      </w:r>
    </w:p>
  </w:comment>
  <w:comment w:id="119" w:author="Scott, Keith L." w:date="2019-08-21T10:04:00Z" w:initials="SKL">
    <w:p w14:paraId="087A7E9E" w14:textId="77777777" w:rsidR="000D31EB" w:rsidRDefault="000D31EB">
      <w:pPr>
        <w:pStyle w:val="CommentText"/>
      </w:pPr>
      <w:r>
        <w:rPr>
          <w:rStyle w:val="CommentReference"/>
        </w:rPr>
        <w:annotationRef/>
      </w:r>
      <w:r>
        <w:t>SEA-SEC</w:t>
      </w:r>
    </w:p>
    <w:p w14:paraId="5E5838B5" w14:textId="77777777" w:rsidR="000D31EB" w:rsidRDefault="000D31EB" w:rsidP="00876761">
      <w:pPr>
        <w:pStyle w:val="CommentText"/>
      </w:pPr>
      <w:r>
        <w:t xml:space="preserve">Note 1 of requirement 3.3.1 states that “all fields are variable in length using SDNVs”, </w:t>
      </w:r>
      <w:proofErr w:type="spellStart"/>
      <w:r>
        <w:t>ie</w:t>
      </w:r>
      <w:proofErr w:type="spellEnd"/>
      <w:r>
        <w:t xml:space="preserve"> including the compound fields.</w:t>
      </w:r>
    </w:p>
    <w:p w14:paraId="79845244" w14:textId="77777777" w:rsidR="000D31EB" w:rsidRDefault="000D31EB" w:rsidP="00876761">
      <w:pPr>
        <w:pStyle w:val="CommentText"/>
      </w:pPr>
      <w:r>
        <w:t>SDNV fields already enable variable length data contents, hence an indication of length is redundant with the field itself. If one of the role of SDNV is to bring compression (</w:t>
      </w:r>
      <w:proofErr w:type="spellStart"/>
      <w:r>
        <w:t>cf</w:t>
      </w:r>
      <w:proofErr w:type="spellEnd"/>
      <w:r>
        <w:t xml:space="preserve"> RFC6256 chapter 1.1), then this process is not coherent</w:t>
      </w:r>
    </w:p>
    <w:p w14:paraId="6454E4BA" w14:textId="77777777" w:rsidR="000D31EB" w:rsidRDefault="000D31EB" w:rsidP="00876761">
      <w:pPr>
        <w:pStyle w:val="CommentText"/>
      </w:pPr>
    </w:p>
    <w:p w14:paraId="27D78E4F" w14:textId="77777777" w:rsidR="000D31EB" w:rsidRDefault="000D31EB" w:rsidP="00876761">
      <w:pPr>
        <w:pStyle w:val="CommentText"/>
      </w:pPr>
      <w:r>
        <w:t xml:space="preserve">Keith thinks that we need SOMETHING (either a count or a length) to indicate the total size of the compound security result data.  Can we determine these from the </w:t>
      </w:r>
      <w:proofErr w:type="spellStart"/>
      <w:r>
        <w:t>ciphersuite</w:t>
      </w:r>
      <w:proofErr w:type="spellEnd"/>
      <w:r>
        <w:t xml:space="preserve"> / security context identifier per the note later on cipher suite parameters?</w:t>
      </w:r>
    </w:p>
    <w:p w14:paraId="137B4544" w14:textId="77777777" w:rsidR="000D31EB" w:rsidRDefault="000D31EB" w:rsidP="00876761">
      <w:pPr>
        <w:pStyle w:val="CommentText"/>
      </w:pPr>
    </w:p>
    <w:p w14:paraId="7B1D1000" w14:textId="77777777" w:rsidR="000D31EB" w:rsidRPr="009F5BA0" w:rsidRDefault="000D31EB" w:rsidP="009F5BA0">
      <w:pPr>
        <w:pStyle w:val="CommentText"/>
        <w:ind w:left="720"/>
        <w:rPr>
          <w:i/>
          <w:iCs/>
        </w:rPr>
      </w:pPr>
      <w:r w:rsidRPr="009F5BA0">
        <w:rPr>
          <w:i/>
          <w:iCs/>
        </w:rPr>
        <w:t>The number and types of items that may appear in the cipher suite parameters and/or security result fields are defined by the particular cipher suite description. A cipher suite may support several instances of the same type within a single block.</w:t>
      </w:r>
    </w:p>
  </w:comment>
  <w:comment w:id="152" w:author="Scott, Keith L." w:date="2019-08-21T09:00:00Z" w:initials="SKL">
    <w:p w14:paraId="67937B20" w14:textId="77777777" w:rsidR="000D31EB" w:rsidRDefault="000D31EB" w:rsidP="00B95EAE">
      <w:pPr>
        <w:pStyle w:val="CommentText"/>
      </w:pPr>
      <w:r>
        <w:rPr>
          <w:rStyle w:val="CommentReference"/>
        </w:rPr>
        <w:annotationRef/>
      </w:r>
      <w:r>
        <w:t xml:space="preserve">SEA-SEC: </w:t>
      </w:r>
      <w:r w:rsidRPr="006F65B0">
        <w:t>The present text only makes sense in case the waypoint is in possession of the correct cryptographic key. It could however be a node from a different entity that is not in the possession of the correct key but taking responsibility of forwarding the bundle. In this case, the stated condition must not apply.</w:t>
      </w:r>
    </w:p>
  </w:comment>
  <w:comment w:id="171" w:author="Scott, Keith L." w:date="2019-03-08T10:44:00Z" w:initials="SKL">
    <w:p w14:paraId="6D86DADA" w14:textId="77777777" w:rsidR="000D31EB" w:rsidRDefault="000D31EB">
      <w:pPr>
        <w:pStyle w:val="CommentText"/>
      </w:pPr>
      <w:r>
        <w:rPr>
          <w:rStyle w:val="CommentReference"/>
        </w:rPr>
        <w:annotationRef/>
      </w:r>
      <w:r>
        <w:t xml:space="preserve">SEA-SEC WG: </w:t>
      </w:r>
      <w:r w:rsidRPr="00DB6F63">
        <w:t>Reference and put in context the numerous security informational reports that have been published by the CCSDS security working group. This is in particular relevant for Annex B but also in the context of the publication of a potential SBSP green book (which is strongly recommended).</w:t>
      </w:r>
    </w:p>
  </w:comment>
  <w:comment w:id="178" w:author="Scott, Keith L." w:date="2019-08-21T09:52:00Z" w:initials="SKL">
    <w:p w14:paraId="55FBD76A" w14:textId="77777777" w:rsidR="000D31EB" w:rsidRDefault="000D31EB">
      <w:pPr>
        <w:pStyle w:val="CommentText"/>
      </w:pPr>
      <w:r>
        <w:rPr>
          <w:rStyle w:val="CommentReference"/>
        </w:rPr>
        <w:annotationRef/>
      </w:r>
      <w:r>
        <w:t>SEA-SEC</w:t>
      </w:r>
    </w:p>
    <w:p w14:paraId="3983D1E1" w14:textId="77777777" w:rsidR="000D31EB" w:rsidRDefault="000D31EB">
      <w:pPr>
        <w:pStyle w:val="CommentText"/>
      </w:pPr>
      <w:r>
        <w:t>Don’t we need a cipher suites registry?</w:t>
      </w:r>
    </w:p>
    <w:p w14:paraId="11176C73" w14:textId="77777777" w:rsidR="000D31EB" w:rsidRDefault="000D31EB">
      <w:pPr>
        <w:pStyle w:val="CommentText"/>
      </w:pPr>
    </w:p>
  </w:comment>
  <w:comment w:id="199" w:author="Scott, Keith L." w:date="2019-08-21T09:02:00Z" w:initials="SKL">
    <w:p w14:paraId="2F96198A" w14:textId="77777777" w:rsidR="000D31EB" w:rsidRDefault="000D31EB">
      <w:pPr>
        <w:pStyle w:val="CommentText"/>
      </w:pPr>
      <w:r>
        <w:rPr>
          <w:rStyle w:val="CommentReference"/>
        </w:rPr>
        <w:annotationRef/>
      </w:r>
      <w:r>
        <w:t>To be completed:</w:t>
      </w:r>
    </w:p>
    <w:p w14:paraId="2C5E836C" w14:textId="77777777" w:rsidR="000D31EB" w:rsidRDefault="000D31EB">
      <w:pPr>
        <w:pStyle w:val="CommentText"/>
      </w:pPr>
    </w:p>
    <w:p w14:paraId="40E49A3B" w14:textId="77777777" w:rsidR="000D31EB" w:rsidRDefault="000D31EB">
      <w:pPr>
        <w:pStyle w:val="CommentText"/>
      </w:pPr>
      <w:r w:rsidRPr="006F65B0">
        <w:t>Many aspects of the SBSP are highly configurable (e.g. cipher suite/ security association). In order to ensure maximum interoperability and allow representative interoperability testing, it is highly recommended to specify a non-normative Baseline Mode for the protocol similar to the baseline mode of the SDLS protocol. This would provide implementers with a standard way to implement the standard and could still be modified if required by the mission.</w:t>
      </w:r>
    </w:p>
  </w:comment>
  <w:comment w:id="226" w:author="Scott, Keith L." w:date="2019-08-21T08:57:00Z" w:initials="SKL">
    <w:p w14:paraId="77F50AC4" w14:textId="77777777" w:rsidR="000D31EB" w:rsidRDefault="000D31EB" w:rsidP="001C59C9">
      <w:pPr>
        <w:pStyle w:val="CommentText"/>
      </w:pPr>
      <w:r>
        <w:rPr>
          <w:rStyle w:val="CommentReference"/>
        </w:rPr>
        <w:annotationRef/>
      </w:r>
      <w:r>
        <w:t>SEA-SEC says:</w:t>
      </w:r>
    </w:p>
    <w:p w14:paraId="0EAAFF16" w14:textId="77777777" w:rsidR="000D31EB" w:rsidRDefault="000D31EB" w:rsidP="001C59C9">
      <w:pPr>
        <w:pStyle w:val="CommentText"/>
      </w:pPr>
      <w:r>
        <w:t xml:space="preserve">To include key information that is used by a potential key management system as a parameter does not make sense. It is only one element needed by a potential key management service. It should be removed completely from the SBSP spec and instead, an in depended security management service spec that also includes key management shall be created (similar to SDLS Extended Procedures, see various RIDs on the subject). </w:t>
      </w:r>
    </w:p>
    <w:p w14:paraId="5108A876" w14:textId="77777777" w:rsidR="000D31EB" w:rsidRDefault="000D31EB" w:rsidP="001C59C9">
      <w:pPr>
        <w:pStyle w:val="CommentText"/>
      </w:pPr>
    </w:p>
    <w:p w14:paraId="54339CEB" w14:textId="77777777" w:rsidR="000D31EB" w:rsidRDefault="000D31EB" w:rsidP="001C59C9">
      <w:pPr>
        <w:pStyle w:val="CommentText"/>
      </w:pPr>
      <w:r>
        <w:t>The current approach in this document is not complete and not sufficient for proper key management.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AC40AC" w15:done="1"/>
  <w15:commentEx w15:paraId="4C69EBC1" w15:done="1"/>
  <w15:commentEx w15:paraId="53B3B190" w15:done="1"/>
  <w15:commentEx w15:paraId="060CFD6D" w15:done="1"/>
  <w15:commentEx w15:paraId="3B62FA51" w15:paraIdParent="060CFD6D" w15:done="1"/>
  <w15:commentEx w15:paraId="6E61B58F" w15:done="1"/>
  <w15:commentEx w15:paraId="1B4E33D4" w15:done="1"/>
  <w15:commentEx w15:paraId="6BE3427C" w15:done="0"/>
  <w15:commentEx w15:paraId="7B1D1000" w15:done="1"/>
  <w15:commentEx w15:paraId="67937B20" w15:done="0"/>
  <w15:commentEx w15:paraId="6D86DADA" w15:done="0"/>
  <w15:commentEx w15:paraId="11176C73" w15:done="1"/>
  <w15:commentEx w15:paraId="40E49A3B" w15:done="0"/>
  <w15:commentEx w15:paraId="54339C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AC40AC" w16cid:durableId="2253A350"/>
  <w16cid:commentId w16cid:paraId="4C69EBC1" w16cid:durableId="2253A351"/>
  <w16cid:commentId w16cid:paraId="060CFD6D" w16cid:durableId="2253A352"/>
  <w16cid:commentId w16cid:paraId="3B62FA51" w16cid:durableId="2253A353"/>
  <w16cid:commentId w16cid:paraId="6E61B58F" w16cid:durableId="218923DC"/>
  <w16cid:commentId w16cid:paraId="3A37B767" w16cid:durableId="2253E218"/>
  <w16cid:commentId w16cid:paraId="6CC7808A" w16cid:durableId="2253E251"/>
  <w16cid:commentId w16cid:paraId="1B4E33D4" w16cid:durableId="22525480"/>
  <w16cid:commentId w16cid:paraId="6BE3427C" w16cid:durableId="1F708D40"/>
  <w16cid:commentId w16cid:paraId="7B1D1000" w16cid:durableId="210795A2"/>
  <w16cid:commentId w16cid:paraId="2FB340E9" w16cid:durableId="2107869C"/>
  <w16cid:commentId w16cid:paraId="3A17DD62" w16cid:durableId="225652F3"/>
  <w16cid:commentId w16cid:paraId="6D86DADA" w16cid:durableId="202CC61F"/>
  <w16cid:commentId w16cid:paraId="4137C708" w16cid:durableId="2254FB3A"/>
  <w16cid:commentId w16cid:paraId="7330C318" w16cid:durableId="21079488"/>
  <w16cid:commentId w16cid:paraId="30B9764B" w16cid:durableId="21079377"/>
  <w16cid:commentId w16cid:paraId="11176C73" w16cid:durableId="210792DA"/>
  <w16cid:commentId w16cid:paraId="40E49A3B" w16cid:durableId="2107872A"/>
  <w16cid:commentId w16cid:paraId="4746F708" w16cid:durableId="225652FA"/>
  <w16cid:commentId w16cid:paraId="12DC6DAA" w16cid:durableId="22517662"/>
  <w16cid:commentId w16cid:paraId="04419432" w16cid:durableId="225254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05DC9" w14:textId="77777777" w:rsidR="00C818EF" w:rsidRDefault="00C818EF" w:rsidP="00763A38">
      <w:r>
        <w:separator/>
      </w:r>
    </w:p>
  </w:endnote>
  <w:endnote w:type="continuationSeparator" w:id="0">
    <w:p w14:paraId="465EC237" w14:textId="77777777" w:rsidR="00C818EF" w:rsidRDefault="00C818EF" w:rsidP="0076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DDCD" w14:textId="7A3437A8" w:rsidR="000D31EB" w:rsidRDefault="000D31EB">
    <w:pPr>
      <w:pStyle w:val="Footer"/>
    </w:pPr>
    <w:fldSimple w:instr=" DOCPROPERTY  &quot;Document number&quot;  \* MERGEFORMAT ">
      <w:r>
        <w:t>CCSDS 734.5-R-1</w:t>
      </w:r>
    </w:fldSimple>
    <w:r>
      <w:tab/>
      <w:t xml:space="preserve">Page </w:t>
    </w:r>
    <w:r>
      <w:fldChar w:fldCharType="begin"/>
    </w:r>
    <w:r>
      <w:instrText xml:space="preserve"> PAGE   \* MERGEFORMAT </w:instrText>
    </w:r>
    <w:r>
      <w:fldChar w:fldCharType="separate"/>
    </w:r>
    <w:r w:rsidR="003044CA">
      <w:rPr>
        <w:noProof/>
      </w:rPr>
      <w:t>2-4</w:t>
    </w:r>
    <w:r>
      <w:fldChar w:fldCharType="end"/>
    </w:r>
    <w:r>
      <w:tab/>
    </w:r>
    <w:fldSimple w:instr=" DOCPROPERTY  &quot;Issue Date&quot;  \* MERGEFORMAT ">
      <w:r>
        <w:t>March 2018</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65928" w14:textId="20B221F2" w:rsidR="000D31EB" w:rsidRDefault="000D31EB">
    <w:pPr>
      <w:pStyle w:val="Footer"/>
    </w:pPr>
    <w:fldSimple w:instr=" DOCPROPERTY  &quot;Document number&quot;  \* MERGEFORMAT ">
      <w:r>
        <w:t>CCSDS 734.5-R-1</w:t>
      </w:r>
    </w:fldSimple>
    <w:r>
      <w:tab/>
      <w:t xml:space="preserve">Page </w:t>
    </w:r>
    <w:r>
      <w:fldChar w:fldCharType="begin"/>
    </w:r>
    <w:r>
      <w:instrText xml:space="preserve"> PAGE   \* MERGEFORMAT </w:instrText>
    </w:r>
    <w:r>
      <w:fldChar w:fldCharType="separate"/>
    </w:r>
    <w:r w:rsidR="003044CA">
      <w:rPr>
        <w:noProof/>
      </w:rPr>
      <w:t>E-2</w:t>
    </w:r>
    <w:r>
      <w:fldChar w:fldCharType="end"/>
    </w:r>
    <w:r>
      <w:tab/>
    </w:r>
    <w:fldSimple w:instr=" DOCPROPERTY  &quot;Issue Date&quot;  \* MERGEFORMAT ">
      <w:r>
        <w:t>March 2018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B0F72" w14:textId="77777777" w:rsidR="00C818EF" w:rsidRDefault="00C818EF" w:rsidP="00763A38">
      <w:r>
        <w:separator/>
      </w:r>
    </w:p>
  </w:footnote>
  <w:footnote w:type="continuationSeparator" w:id="0">
    <w:p w14:paraId="7BF772CC" w14:textId="77777777" w:rsidR="00C818EF" w:rsidRDefault="00C818EF" w:rsidP="00763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0BD06" w14:textId="77777777" w:rsidR="000D31EB" w:rsidRPr="00763A38" w:rsidRDefault="000D31EB" w:rsidP="00763A38">
    <w:pPr>
      <w:pStyle w:val="Header"/>
      <w:rPr>
        <w:spacing w:val="-2"/>
      </w:rPr>
    </w:pPr>
    <w:r w:rsidRPr="00763A38">
      <w:rPr>
        <w:spacing w:val="-2"/>
      </w:rPr>
      <w:t>DRAFT RECOMMENDED STANDARD FOR STREAMLINED BUNDLE SECURITY PROTOCOL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FD8"/>
    <w:multiLevelType w:val="hybridMultilevel"/>
    <w:tmpl w:val="F9A00C8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22141"/>
    <w:multiLevelType w:val="singleLevel"/>
    <w:tmpl w:val="14404AF2"/>
    <w:lvl w:ilvl="0">
      <w:start w:val="1"/>
      <w:numFmt w:val="decimal"/>
      <w:lvlText w:val="%1"/>
      <w:lvlJc w:val="left"/>
      <w:pPr>
        <w:tabs>
          <w:tab w:val="num" w:pos="720"/>
        </w:tabs>
        <w:ind w:left="720" w:hanging="720"/>
      </w:pPr>
    </w:lvl>
  </w:abstractNum>
  <w:abstractNum w:abstractNumId="2" w15:restartNumberingAfterBreak="0">
    <w:nsid w:val="158709B7"/>
    <w:multiLevelType w:val="singleLevel"/>
    <w:tmpl w:val="BA362A46"/>
    <w:lvl w:ilvl="0">
      <w:start w:val="1"/>
      <w:numFmt w:val="decimal"/>
      <w:lvlText w:val="%1"/>
      <w:lvlJc w:val="left"/>
      <w:pPr>
        <w:tabs>
          <w:tab w:val="num" w:pos="720"/>
        </w:tabs>
        <w:ind w:left="720" w:hanging="720"/>
      </w:pPr>
    </w:lvl>
  </w:abstractNum>
  <w:abstractNum w:abstractNumId="3" w15:restartNumberingAfterBreak="0">
    <w:nsid w:val="18BC25AB"/>
    <w:multiLevelType w:val="singleLevel"/>
    <w:tmpl w:val="72128D2C"/>
    <w:lvl w:ilvl="0">
      <w:start w:val="1"/>
      <w:numFmt w:val="decimal"/>
      <w:lvlText w:val="%1"/>
      <w:lvlJc w:val="left"/>
      <w:pPr>
        <w:tabs>
          <w:tab w:val="num" w:pos="720"/>
        </w:tabs>
        <w:ind w:left="720" w:hanging="720"/>
      </w:pPr>
    </w:lvl>
  </w:abstractNum>
  <w:abstractNum w:abstractNumId="4" w15:restartNumberingAfterBreak="0">
    <w:nsid w:val="1940626F"/>
    <w:multiLevelType w:val="multilevel"/>
    <w:tmpl w:val="A9A80A3C"/>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1987"/>
        </w:tabs>
        <w:ind w:left="108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5" w15:restartNumberingAfterBreak="0">
    <w:nsid w:val="24994CE4"/>
    <w:multiLevelType w:val="singleLevel"/>
    <w:tmpl w:val="923C96F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2AE83848"/>
    <w:multiLevelType w:val="multilevel"/>
    <w:tmpl w:val="7780ED96"/>
    <w:lvl w:ilvl="0">
      <w:start w:val="1"/>
      <w:numFmt w:val="upperLetter"/>
      <w:lvlRestart w:val="0"/>
      <w:pStyle w:val="Heading8"/>
      <w:suff w:val="nothing"/>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7" w15:restartNumberingAfterBreak="0">
    <w:nsid w:val="2B755FF2"/>
    <w:multiLevelType w:val="singleLevel"/>
    <w:tmpl w:val="C03C389E"/>
    <w:lvl w:ilvl="0">
      <w:start w:val="1"/>
      <w:numFmt w:val="lowerLetter"/>
      <w:lvlText w:val="%1)"/>
      <w:lvlJc w:val="left"/>
      <w:pPr>
        <w:tabs>
          <w:tab w:val="num" w:pos="360"/>
        </w:tabs>
        <w:ind w:left="360" w:hanging="360"/>
      </w:pPr>
    </w:lvl>
  </w:abstractNum>
  <w:abstractNum w:abstractNumId="8" w15:restartNumberingAfterBreak="0">
    <w:nsid w:val="2DE74586"/>
    <w:multiLevelType w:val="singleLevel"/>
    <w:tmpl w:val="A74817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9" w15:restartNumberingAfterBreak="0">
    <w:nsid w:val="317520D1"/>
    <w:multiLevelType w:val="multilevel"/>
    <w:tmpl w:val="0AEC75AC"/>
    <w:name w:val="HeadingNumbers2"/>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0"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27F68BE"/>
    <w:multiLevelType w:val="singleLevel"/>
    <w:tmpl w:val="72128D2C"/>
    <w:lvl w:ilvl="0">
      <w:start w:val="1"/>
      <w:numFmt w:val="decimal"/>
      <w:lvlText w:val="%1"/>
      <w:lvlJc w:val="left"/>
      <w:pPr>
        <w:tabs>
          <w:tab w:val="num" w:pos="720"/>
        </w:tabs>
        <w:ind w:left="720" w:hanging="720"/>
      </w:pPr>
    </w:lvl>
  </w:abstractNum>
  <w:abstractNum w:abstractNumId="12" w15:restartNumberingAfterBreak="0">
    <w:nsid w:val="375023CB"/>
    <w:multiLevelType w:val="singleLevel"/>
    <w:tmpl w:val="72128D2C"/>
    <w:lvl w:ilvl="0">
      <w:start w:val="1"/>
      <w:numFmt w:val="decimal"/>
      <w:lvlText w:val="%1"/>
      <w:lvlJc w:val="left"/>
      <w:pPr>
        <w:tabs>
          <w:tab w:val="num" w:pos="720"/>
        </w:tabs>
        <w:ind w:left="720" w:hanging="720"/>
      </w:pPr>
    </w:lvl>
  </w:abstractNum>
  <w:abstractNum w:abstractNumId="13" w15:restartNumberingAfterBreak="0">
    <w:nsid w:val="3C8925B6"/>
    <w:multiLevelType w:val="hybridMultilevel"/>
    <w:tmpl w:val="E5C8C9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B26AE"/>
    <w:multiLevelType w:val="singleLevel"/>
    <w:tmpl w:val="72128D2C"/>
    <w:lvl w:ilvl="0">
      <w:start w:val="1"/>
      <w:numFmt w:val="decimal"/>
      <w:lvlText w:val="%1"/>
      <w:lvlJc w:val="left"/>
      <w:pPr>
        <w:tabs>
          <w:tab w:val="num" w:pos="720"/>
        </w:tabs>
        <w:ind w:left="720" w:hanging="720"/>
      </w:pPr>
    </w:lvl>
  </w:abstractNum>
  <w:abstractNum w:abstractNumId="15" w15:restartNumberingAfterBreak="0">
    <w:nsid w:val="40F95FD9"/>
    <w:multiLevelType w:val="multilevel"/>
    <w:tmpl w:val="7B1C7918"/>
    <w:name w:val="HeadingNumbers4"/>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1267"/>
        </w:tabs>
        <w:ind w:left="36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16" w15:restartNumberingAfterBreak="0">
    <w:nsid w:val="43071D98"/>
    <w:multiLevelType w:val="hybridMultilevel"/>
    <w:tmpl w:val="E2020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F1B69"/>
    <w:multiLevelType w:val="singleLevel"/>
    <w:tmpl w:val="3A4835E8"/>
    <w:lvl w:ilvl="0">
      <w:start w:val="1"/>
      <w:numFmt w:val="lowerLetter"/>
      <w:lvlText w:val="%1)"/>
      <w:lvlJc w:val="left"/>
      <w:pPr>
        <w:tabs>
          <w:tab w:val="num" w:pos="360"/>
        </w:tabs>
        <w:ind w:left="360" w:hanging="360"/>
      </w:pPr>
    </w:lvl>
  </w:abstractNum>
  <w:abstractNum w:abstractNumId="18" w15:restartNumberingAfterBreak="0">
    <w:nsid w:val="56814FEA"/>
    <w:multiLevelType w:val="hybridMultilevel"/>
    <w:tmpl w:val="3244BBE6"/>
    <w:lvl w:ilvl="0" w:tplc="07024C10">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4921C2"/>
    <w:multiLevelType w:val="singleLevel"/>
    <w:tmpl w:val="14404AF2"/>
    <w:lvl w:ilvl="0">
      <w:start w:val="1"/>
      <w:numFmt w:val="decimal"/>
      <w:lvlText w:val="%1"/>
      <w:lvlJc w:val="left"/>
      <w:pPr>
        <w:tabs>
          <w:tab w:val="num" w:pos="720"/>
        </w:tabs>
        <w:ind w:left="720" w:hanging="720"/>
      </w:pPr>
    </w:lvl>
  </w:abstractNum>
  <w:abstractNum w:abstractNumId="20" w15:restartNumberingAfterBreak="0">
    <w:nsid w:val="5C1B356B"/>
    <w:multiLevelType w:val="hybridMultilevel"/>
    <w:tmpl w:val="AA4A59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BD25F7"/>
    <w:multiLevelType w:val="singleLevel"/>
    <w:tmpl w:val="A100FC48"/>
    <w:lvl w:ilvl="0">
      <w:start w:val="1"/>
      <w:numFmt w:val="lowerLetter"/>
      <w:lvlText w:val="%1)"/>
      <w:lvlJc w:val="left"/>
      <w:pPr>
        <w:tabs>
          <w:tab w:val="num" w:pos="360"/>
        </w:tabs>
        <w:ind w:left="360" w:hanging="360"/>
      </w:pPr>
    </w:lvl>
  </w:abstractNum>
  <w:abstractNum w:abstractNumId="22"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74A534C2"/>
    <w:multiLevelType w:val="hybridMultilevel"/>
    <w:tmpl w:val="C2AA8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965A40"/>
    <w:multiLevelType w:val="hybridMultilevel"/>
    <w:tmpl w:val="84CACB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C4FA5"/>
    <w:multiLevelType w:val="hybridMultilevel"/>
    <w:tmpl w:val="51103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53E83"/>
    <w:multiLevelType w:val="singleLevel"/>
    <w:tmpl w:val="72128D2C"/>
    <w:lvl w:ilvl="0">
      <w:start w:val="1"/>
      <w:numFmt w:val="decimal"/>
      <w:lvlText w:val="%1"/>
      <w:lvlJc w:val="left"/>
      <w:pPr>
        <w:tabs>
          <w:tab w:val="num" w:pos="720"/>
        </w:tabs>
        <w:ind w:left="720" w:hanging="720"/>
      </w:pPr>
    </w:lvl>
  </w:abstractNum>
  <w:num w:numId="1">
    <w:abstractNumId w:val="4"/>
  </w:num>
  <w:num w:numId="2">
    <w:abstractNumId w:val="6"/>
  </w:num>
  <w:num w:numId="3">
    <w:abstractNumId w:val="7"/>
  </w:num>
  <w:num w:numId="4">
    <w:abstractNumId w:val="5"/>
  </w:num>
  <w:num w:numId="5">
    <w:abstractNumId w:val="18"/>
  </w:num>
  <w:num w:numId="6">
    <w:abstractNumId w:val="11"/>
  </w:num>
  <w:num w:numId="7">
    <w:abstractNumId w:val="17"/>
  </w:num>
  <w:num w:numId="8">
    <w:abstractNumId w:val="21"/>
  </w:num>
  <w:num w:numId="9">
    <w:abstractNumId w:val="2"/>
  </w:num>
  <w:num w:numId="10">
    <w:abstractNumId w:val="8"/>
  </w:num>
  <w:num w:numId="11">
    <w:abstractNumId w:val="10"/>
  </w:num>
  <w:num w:numId="12">
    <w:abstractNumId w:val="22"/>
  </w:num>
  <w:num w:numId="13">
    <w:abstractNumId w:val="4"/>
  </w:num>
  <w:num w:numId="14">
    <w:abstractNumId w:val="25"/>
  </w:num>
  <w:num w:numId="15">
    <w:abstractNumId w:val="19"/>
  </w:num>
  <w:num w:numId="16">
    <w:abstractNumId w:val="24"/>
  </w:num>
  <w:num w:numId="17">
    <w:abstractNumId w:val="16"/>
  </w:num>
  <w:num w:numId="18">
    <w:abstractNumId w:val="12"/>
  </w:num>
  <w:num w:numId="19">
    <w:abstractNumId w:val="3"/>
  </w:num>
  <w:num w:numId="20">
    <w:abstractNumId w:val="13"/>
  </w:num>
  <w:num w:numId="21">
    <w:abstractNumId w:val="20"/>
  </w:num>
  <w:num w:numId="22">
    <w:abstractNumId w:val="14"/>
  </w:num>
  <w:num w:numId="23">
    <w:abstractNumId w:val="26"/>
  </w:num>
  <w:num w:numId="24">
    <w:abstractNumId w:val="23"/>
  </w:num>
  <w:num w:numId="25">
    <w:abstractNumId w:val="1"/>
  </w:num>
  <w:num w:numId="26">
    <w:abstractNumId w:val="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rane, Edward J.">
    <w15:presenceInfo w15:providerId="AD" w15:userId="S-1-5-21-17504556-1539073906-17591369-14982"/>
  </w15:person>
  <w15:person w15:author="Scott, Keith L.">
    <w15:presenceInfo w15:providerId="AD" w15:userId="S::kscott@mitre.org::ce1a1a67-2690-4431-9ee8-aa55d8855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F3"/>
    <w:rsid w:val="00001450"/>
    <w:rsid w:val="00001565"/>
    <w:rsid w:val="00001C00"/>
    <w:rsid w:val="000020E2"/>
    <w:rsid w:val="00002F53"/>
    <w:rsid w:val="00003789"/>
    <w:rsid w:val="000054C7"/>
    <w:rsid w:val="000063FA"/>
    <w:rsid w:val="0000674E"/>
    <w:rsid w:val="00007835"/>
    <w:rsid w:val="00012694"/>
    <w:rsid w:val="00012CFD"/>
    <w:rsid w:val="000143F5"/>
    <w:rsid w:val="00014768"/>
    <w:rsid w:val="000165BB"/>
    <w:rsid w:val="00016A8A"/>
    <w:rsid w:val="000172FE"/>
    <w:rsid w:val="00020C38"/>
    <w:rsid w:val="00021341"/>
    <w:rsid w:val="000237A7"/>
    <w:rsid w:val="00024639"/>
    <w:rsid w:val="000316A3"/>
    <w:rsid w:val="00032238"/>
    <w:rsid w:val="000333C1"/>
    <w:rsid w:val="0003373D"/>
    <w:rsid w:val="00033ACA"/>
    <w:rsid w:val="000345FA"/>
    <w:rsid w:val="00034680"/>
    <w:rsid w:val="00034BC8"/>
    <w:rsid w:val="0003512C"/>
    <w:rsid w:val="0003531A"/>
    <w:rsid w:val="0003572C"/>
    <w:rsid w:val="00035A86"/>
    <w:rsid w:val="00040D7B"/>
    <w:rsid w:val="0004149D"/>
    <w:rsid w:val="00043464"/>
    <w:rsid w:val="0004456B"/>
    <w:rsid w:val="0005017F"/>
    <w:rsid w:val="000501B8"/>
    <w:rsid w:val="000510A5"/>
    <w:rsid w:val="00052189"/>
    <w:rsid w:val="000527DB"/>
    <w:rsid w:val="00054302"/>
    <w:rsid w:val="000551D8"/>
    <w:rsid w:val="00055F0C"/>
    <w:rsid w:val="0005696A"/>
    <w:rsid w:val="00057186"/>
    <w:rsid w:val="00057E7A"/>
    <w:rsid w:val="000608EC"/>
    <w:rsid w:val="000612FC"/>
    <w:rsid w:val="000613C0"/>
    <w:rsid w:val="00061C8E"/>
    <w:rsid w:val="00062908"/>
    <w:rsid w:val="000648F0"/>
    <w:rsid w:val="00065575"/>
    <w:rsid w:val="00065D85"/>
    <w:rsid w:val="00065E55"/>
    <w:rsid w:val="00066B15"/>
    <w:rsid w:val="00066C0A"/>
    <w:rsid w:val="00070CE2"/>
    <w:rsid w:val="0007265E"/>
    <w:rsid w:val="00073629"/>
    <w:rsid w:val="000740F0"/>
    <w:rsid w:val="000746A6"/>
    <w:rsid w:val="00075718"/>
    <w:rsid w:val="00076ED5"/>
    <w:rsid w:val="000773DD"/>
    <w:rsid w:val="0007760F"/>
    <w:rsid w:val="00080B4A"/>
    <w:rsid w:val="00080BFD"/>
    <w:rsid w:val="00080F21"/>
    <w:rsid w:val="0008269C"/>
    <w:rsid w:val="00082E75"/>
    <w:rsid w:val="000832BB"/>
    <w:rsid w:val="00084CCA"/>
    <w:rsid w:val="0008640A"/>
    <w:rsid w:val="00086AB1"/>
    <w:rsid w:val="00087061"/>
    <w:rsid w:val="000915A1"/>
    <w:rsid w:val="000918C6"/>
    <w:rsid w:val="0009304B"/>
    <w:rsid w:val="000937A6"/>
    <w:rsid w:val="00093CFD"/>
    <w:rsid w:val="000953E6"/>
    <w:rsid w:val="000969EC"/>
    <w:rsid w:val="00096FB6"/>
    <w:rsid w:val="000973EE"/>
    <w:rsid w:val="000976D3"/>
    <w:rsid w:val="00097ACC"/>
    <w:rsid w:val="00097F13"/>
    <w:rsid w:val="000A038D"/>
    <w:rsid w:val="000A3120"/>
    <w:rsid w:val="000A4FFA"/>
    <w:rsid w:val="000B043A"/>
    <w:rsid w:val="000B1989"/>
    <w:rsid w:val="000B299E"/>
    <w:rsid w:val="000B35E2"/>
    <w:rsid w:val="000B4503"/>
    <w:rsid w:val="000B752D"/>
    <w:rsid w:val="000C2AB0"/>
    <w:rsid w:val="000C2E0F"/>
    <w:rsid w:val="000C4B1B"/>
    <w:rsid w:val="000C510B"/>
    <w:rsid w:val="000C5C09"/>
    <w:rsid w:val="000D1F43"/>
    <w:rsid w:val="000D2834"/>
    <w:rsid w:val="000D31EB"/>
    <w:rsid w:val="000D3277"/>
    <w:rsid w:val="000D4842"/>
    <w:rsid w:val="000D70DA"/>
    <w:rsid w:val="000D73AE"/>
    <w:rsid w:val="000E5D10"/>
    <w:rsid w:val="000F0AB5"/>
    <w:rsid w:val="000F202B"/>
    <w:rsid w:val="000F3C3C"/>
    <w:rsid w:val="000F3FB4"/>
    <w:rsid w:val="000F4F8B"/>
    <w:rsid w:val="000F5282"/>
    <w:rsid w:val="000F619C"/>
    <w:rsid w:val="000F6506"/>
    <w:rsid w:val="000F6B21"/>
    <w:rsid w:val="000F77BA"/>
    <w:rsid w:val="000F7B00"/>
    <w:rsid w:val="00100B70"/>
    <w:rsid w:val="00101F6E"/>
    <w:rsid w:val="001022F5"/>
    <w:rsid w:val="001023F7"/>
    <w:rsid w:val="0010245B"/>
    <w:rsid w:val="001029AE"/>
    <w:rsid w:val="00103108"/>
    <w:rsid w:val="00103691"/>
    <w:rsid w:val="001068C1"/>
    <w:rsid w:val="00106A4C"/>
    <w:rsid w:val="001077FC"/>
    <w:rsid w:val="0011029D"/>
    <w:rsid w:val="0011087D"/>
    <w:rsid w:val="00110B91"/>
    <w:rsid w:val="00112A01"/>
    <w:rsid w:val="00115A8C"/>
    <w:rsid w:val="001161C5"/>
    <w:rsid w:val="0011629E"/>
    <w:rsid w:val="00116F5D"/>
    <w:rsid w:val="001170B5"/>
    <w:rsid w:val="0011732B"/>
    <w:rsid w:val="00122635"/>
    <w:rsid w:val="00124BB9"/>
    <w:rsid w:val="001251B9"/>
    <w:rsid w:val="001253DB"/>
    <w:rsid w:val="0012565C"/>
    <w:rsid w:val="00127FBC"/>
    <w:rsid w:val="00130DA3"/>
    <w:rsid w:val="001325F5"/>
    <w:rsid w:val="00134FBB"/>
    <w:rsid w:val="001412CF"/>
    <w:rsid w:val="0014134E"/>
    <w:rsid w:val="00141C72"/>
    <w:rsid w:val="00141DCE"/>
    <w:rsid w:val="0014691C"/>
    <w:rsid w:val="001502B3"/>
    <w:rsid w:val="001514AC"/>
    <w:rsid w:val="001516E2"/>
    <w:rsid w:val="0015181A"/>
    <w:rsid w:val="001545A8"/>
    <w:rsid w:val="00154CDD"/>
    <w:rsid w:val="00156687"/>
    <w:rsid w:val="0015771C"/>
    <w:rsid w:val="00157AA8"/>
    <w:rsid w:val="001600FB"/>
    <w:rsid w:val="00160D3E"/>
    <w:rsid w:val="00161261"/>
    <w:rsid w:val="0016231B"/>
    <w:rsid w:val="001641C9"/>
    <w:rsid w:val="001657FE"/>
    <w:rsid w:val="00165F3D"/>
    <w:rsid w:val="00171018"/>
    <w:rsid w:val="00171B93"/>
    <w:rsid w:val="00172DB6"/>
    <w:rsid w:val="00175571"/>
    <w:rsid w:val="0017566B"/>
    <w:rsid w:val="001758D8"/>
    <w:rsid w:val="00182ADB"/>
    <w:rsid w:val="00184991"/>
    <w:rsid w:val="001856CF"/>
    <w:rsid w:val="00186341"/>
    <w:rsid w:val="001868C6"/>
    <w:rsid w:val="0019267D"/>
    <w:rsid w:val="001936DF"/>
    <w:rsid w:val="00193F96"/>
    <w:rsid w:val="0019492A"/>
    <w:rsid w:val="00194C95"/>
    <w:rsid w:val="00195BD2"/>
    <w:rsid w:val="00196C39"/>
    <w:rsid w:val="00196EB5"/>
    <w:rsid w:val="00197602"/>
    <w:rsid w:val="0019767E"/>
    <w:rsid w:val="001A4350"/>
    <w:rsid w:val="001A492E"/>
    <w:rsid w:val="001A5CC7"/>
    <w:rsid w:val="001A5DFA"/>
    <w:rsid w:val="001A7E55"/>
    <w:rsid w:val="001B10F9"/>
    <w:rsid w:val="001B17D6"/>
    <w:rsid w:val="001B1F71"/>
    <w:rsid w:val="001B38DF"/>
    <w:rsid w:val="001B48E3"/>
    <w:rsid w:val="001B518C"/>
    <w:rsid w:val="001B741B"/>
    <w:rsid w:val="001C2697"/>
    <w:rsid w:val="001C2981"/>
    <w:rsid w:val="001C4DB0"/>
    <w:rsid w:val="001C59C9"/>
    <w:rsid w:val="001C5F1B"/>
    <w:rsid w:val="001D1B2C"/>
    <w:rsid w:val="001D1EC9"/>
    <w:rsid w:val="001D2D65"/>
    <w:rsid w:val="001D571F"/>
    <w:rsid w:val="001D582D"/>
    <w:rsid w:val="001D67C9"/>
    <w:rsid w:val="001D7C96"/>
    <w:rsid w:val="001E08A2"/>
    <w:rsid w:val="001E1184"/>
    <w:rsid w:val="001E46C0"/>
    <w:rsid w:val="001E720D"/>
    <w:rsid w:val="001E7377"/>
    <w:rsid w:val="001F0105"/>
    <w:rsid w:val="001F092D"/>
    <w:rsid w:val="001F2AE3"/>
    <w:rsid w:val="001F4D4A"/>
    <w:rsid w:val="001F503C"/>
    <w:rsid w:val="001F6AF9"/>
    <w:rsid w:val="0020342C"/>
    <w:rsid w:val="0020465C"/>
    <w:rsid w:val="00204E78"/>
    <w:rsid w:val="00210A6E"/>
    <w:rsid w:val="00212555"/>
    <w:rsid w:val="00212A22"/>
    <w:rsid w:val="00214065"/>
    <w:rsid w:val="002165F0"/>
    <w:rsid w:val="002232A9"/>
    <w:rsid w:val="002247FB"/>
    <w:rsid w:val="002264A9"/>
    <w:rsid w:val="00226630"/>
    <w:rsid w:val="00230CB2"/>
    <w:rsid w:val="00232573"/>
    <w:rsid w:val="00232C44"/>
    <w:rsid w:val="0023407F"/>
    <w:rsid w:val="00236199"/>
    <w:rsid w:val="00236BC7"/>
    <w:rsid w:val="00237011"/>
    <w:rsid w:val="00237347"/>
    <w:rsid w:val="002374B7"/>
    <w:rsid w:val="0024009A"/>
    <w:rsid w:val="00242946"/>
    <w:rsid w:val="002432F8"/>
    <w:rsid w:val="00243B4E"/>
    <w:rsid w:val="0024447D"/>
    <w:rsid w:val="002444D7"/>
    <w:rsid w:val="00244C5B"/>
    <w:rsid w:val="00244DE5"/>
    <w:rsid w:val="00245089"/>
    <w:rsid w:val="002457AB"/>
    <w:rsid w:val="00246DAB"/>
    <w:rsid w:val="0024700F"/>
    <w:rsid w:val="00247480"/>
    <w:rsid w:val="00247A8F"/>
    <w:rsid w:val="00250BDD"/>
    <w:rsid w:val="0025279D"/>
    <w:rsid w:val="00254A87"/>
    <w:rsid w:val="00255877"/>
    <w:rsid w:val="0025753F"/>
    <w:rsid w:val="00260024"/>
    <w:rsid w:val="002604DB"/>
    <w:rsid w:val="00261397"/>
    <w:rsid w:val="00263D98"/>
    <w:rsid w:val="00263EDA"/>
    <w:rsid w:val="00264413"/>
    <w:rsid w:val="00264EF6"/>
    <w:rsid w:val="00267E0E"/>
    <w:rsid w:val="0027018D"/>
    <w:rsid w:val="0027196A"/>
    <w:rsid w:val="002742F2"/>
    <w:rsid w:val="00276350"/>
    <w:rsid w:val="00276AA8"/>
    <w:rsid w:val="00276AE3"/>
    <w:rsid w:val="00276C2F"/>
    <w:rsid w:val="00280F35"/>
    <w:rsid w:val="00283140"/>
    <w:rsid w:val="00284774"/>
    <w:rsid w:val="002865FC"/>
    <w:rsid w:val="0029013B"/>
    <w:rsid w:val="00292434"/>
    <w:rsid w:val="00292FD4"/>
    <w:rsid w:val="00293608"/>
    <w:rsid w:val="00294D99"/>
    <w:rsid w:val="002956D1"/>
    <w:rsid w:val="00295FF2"/>
    <w:rsid w:val="002963D7"/>
    <w:rsid w:val="00296996"/>
    <w:rsid w:val="002972A4"/>
    <w:rsid w:val="002A1CC9"/>
    <w:rsid w:val="002A217F"/>
    <w:rsid w:val="002A42FA"/>
    <w:rsid w:val="002A50BA"/>
    <w:rsid w:val="002A6B83"/>
    <w:rsid w:val="002A7612"/>
    <w:rsid w:val="002B0940"/>
    <w:rsid w:val="002B218C"/>
    <w:rsid w:val="002B4944"/>
    <w:rsid w:val="002B5F28"/>
    <w:rsid w:val="002B66DC"/>
    <w:rsid w:val="002B673A"/>
    <w:rsid w:val="002B6F8F"/>
    <w:rsid w:val="002C0E82"/>
    <w:rsid w:val="002C1EA7"/>
    <w:rsid w:val="002C4238"/>
    <w:rsid w:val="002C49B0"/>
    <w:rsid w:val="002C4D6F"/>
    <w:rsid w:val="002C52BD"/>
    <w:rsid w:val="002C5495"/>
    <w:rsid w:val="002C56A2"/>
    <w:rsid w:val="002C596B"/>
    <w:rsid w:val="002C68D4"/>
    <w:rsid w:val="002C6D47"/>
    <w:rsid w:val="002C7203"/>
    <w:rsid w:val="002C7A19"/>
    <w:rsid w:val="002D1508"/>
    <w:rsid w:val="002D1A25"/>
    <w:rsid w:val="002D1A68"/>
    <w:rsid w:val="002D29FF"/>
    <w:rsid w:val="002D2B03"/>
    <w:rsid w:val="002D2F2D"/>
    <w:rsid w:val="002D4B4D"/>
    <w:rsid w:val="002D4D87"/>
    <w:rsid w:val="002D5CEB"/>
    <w:rsid w:val="002E0A18"/>
    <w:rsid w:val="002E132A"/>
    <w:rsid w:val="002E2C8B"/>
    <w:rsid w:val="002E37C8"/>
    <w:rsid w:val="002E3B76"/>
    <w:rsid w:val="002E3CE7"/>
    <w:rsid w:val="002E47C5"/>
    <w:rsid w:val="002E4C2C"/>
    <w:rsid w:val="002E4F2E"/>
    <w:rsid w:val="002E60D2"/>
    <w:rsid w:val="002F02BC"/>
    <w:rsid w:val="002F055F"/>
    <w:rsid w:val="002F0B83"/>
    <w:rsid w:val="002F4244"/>
    <w:rsid w:val="00303829"/>
    <w:rsid w:val="00303CC3"/>
    <w:rsid w:val="00303F2E"/>
    <w:rsid w:val="003044CA"/>
    <w:rsid w:val="00305E57"/>
    <w:rsid w:val="003102F7"/>
    <w:rsid w:val="003113D3"/>
    <w:rsid w:val="00314885"/>
    <w:rsid w:val="00314BDF"/>
    <w:rsid w:val="00314D35"/>
    <w:rsid w:val="00315C24"/>
    <w:rsid w:val="00317093"/>
    <w:rsid w:val="00317618"/>
    <w:rsid w:val="00320973"/>
    <w:rsid w:val="0032218C"/>
    <w:rsid w:val="00322A87"/>
    <w:rsid w:val="00322E51"/>
    <w:rsid w:val="00323330"/>
    <w:rsid w:val="00326C41"/>
    <w:rsid w:val="00327B27"/>
    <w:rsid w:val="00330D52"/>
    <w:rsid w:val="00331010"/>
    <w:rsid w:val="00332D1B"/>
    <w:rsid w:val="00332FF3"/>
    <w:rsid w:val="00333F0B"/>
    <w:rsid w:val="00340227"/>
    <w:rsid w:val="0034080E"/>
    <w:rsid w:val="00340FAC"/>
    <w:rsid w:val="00341B38"/>
    <w:rsid w:val="00343A0E"/>
    <w:rsid w:val="00344394"/>
    <w:rsid w:val="003445F7"/>
    <w:rsid w:val="00345033"/>
    <w:rsid w:val="0034555A"/>
    <w:rsid w:val="00345795"/>
    <w:rsid w:val="00346327"/>
    <w:rsid w:val="00346A17"/>
    <w:rsid w:val="00350426"/>
    <w:rsid w:val="003506A6"/>
    <w:rsid w:val="00350CE6"/>
    <w:rsid w:val="0035185D"/>
    <w:rsid w:val="00352BE8"/>
    <w:rsid w:val="00353C55"/>
    <w:rsid w:val="003551E0"/>
    <w:rsid w:val="00355D1C"/>
    <w:rsid w:val="00357A00"/>
    <w:rsid w:val="00361D0C"/>
    <w:rsid w:val="00363050"/>
    <w:rsid w:val="00363C15"/>
    <w:rsid w:val="00363F62"/>
    <w:rsid w:val="003646FC"/>
    <w:rsid w:val="00365E8E"/>
    <w:rsid w:val="00366229"/>
    <w:rsid w:val="003713CD"/>
    <w:rsid w:val="003714C9"/>
    <w:rsid w:val="00372F92"/>
    <w:rsid w:val="00373D5B"/>
    <w:rsid w:val="00374DE9"/>
    <w:rsid w:val="0037720B"/>
    <w:rsid w:val="003811D7"/>
    <w:rsid w:val="003822B2"/>
    <w:rsid w:val="0038289F"/>
    <w:rsid w:val="00382CD2"/>
    <w:rsid w:val="00383181"/>
    <w:rsid w:val="0038329F"/>
    <w:rsid w:val="003849AA"/>
    <w:rsid w:val="0038591B"/>
    <w:rsid w:val="00390136"/>
    <w:rsid w:val="003910F0"/>
    <w:rsid w:val="00391F28"/>
    <w:rsid w:val="00394053"/>
    <w:rsid w:val="00394565"/>
    <w:rsid w:val="003A52AD"/>
    <w:rsid w:val="003A567E"/>
    <w:rsid w:val="003A5BA5"/>
    <w:rsid w:val="003A5DB5"/>
    <w:rsid w:val="003A6191"/>
    <w:rsid w:val="003A6278"/>
    <w:rsid w:val="003A7A6F"/>
    <w:rsid w:val="003A7AA0"/>
    <w:rsid w:val="003A7ADF"/>
    <w:rsid w:val="003B0BD0"/>
    <w:rsid w:val="003B11FC"/>
    <w:rsid w:val="003B22AB"/>
    <w:rsid w:val="003B42F8"/>
    <w:rsid w:val="003B6C01"/>
    <w:rsid w:val="003B711B"/>
    <w:rsid w:val="003B7A82"/>
    <w:rsid w:val="003C07C9"/>
    <w:rsid w:val="003C1B58"/>
    <w:rsid w:val="003C1DFD"/>
    <w:rsid w:val="003C4417"/>
    <w:rsid w:val="003C4632"/>
    <w:rsid w:val="003C6CFF"/>
    <w:rsid w:val="003D4231"/>
    <w:rsid w:val="003D5645"/>
    <w:rsid w:val="003D69A9"/>
    <w:rsid w:val="003E21CE"/>
    <w:rsid w:val="003E4E96"/>
    <w:rsid w:val="003E53FA"/>
    <w:rsid w:val="003E5A2F"/>
    <w:rsid w:val="003E68ED"/>
    <w:rsid w:val="003F012B"/>
    <w:rsid w:val="003F1059"/>
    <w:rsid w:val="003F1E11"/>
    <w:rsid w:val="003F22D8"/>
    <w:rsid w:val="003F2A67"/>
    <w:rsid w:val="003F2E19"/>
    <w:rsid w:val="003F3C9A"/>
    <w:rsid w:val="003F5076"/>
    <w:rsid w:val="004003DA"/>
    <w:rsid w:val="00400E68"/>
    <w:rsid w:val="00401616"/>
    <w:rsid w:val="00401F7A"/>
    <w:rsid w:val="0040243D"/>
    <w:rsid w:val="00402692"/>
    <w:rsid w:val="00402694"/>
    <w:rsid w:val="0040447E"/>
    <w:rsid w:val="00404854"/>
    <w:rsid w:val="004063CF"/>
    <w:rsid w:val="004067D6"/>
    <w:rsid w:val="00410430"/>
    <w:rsid w:val="00410F1F"/>
    <w:rsid w:val="0041141E"/>
    <w:rsid w:val="00411F86"/>
    <w:rsid w:val="00412B1F"/>
    <w:rsid w:val="004150CB"/>
    <w:rsid w:val="0041645D"/>
    <w:rsid w:val="00420CAF"/>
    <w:rsid w:val="00421B2F"/>
    <w:rsid w:val="00422608"/>
    <w:rsid w:val="004239B3"/>
    <w:rsid w:val="00423E3D"/>
    <w:rsid w:val="00426E60"/>
    <w:rsid w:val="00427A3E"/>
    <w:rsid w:val="00427C4B"/>
    <w:rsid w:val="00430810"/>
    <w:rsid w:val="00431851"/>
    <w:rsid w:val="00431AC4"/>
    <w:rsid w:val="00431B6E"/>
    <w:rsid w:val="004333B2"/>
    <w:rsid w:val="00433CE4"/>
    <w:rsid w:val="00434AD8"/>
    <w:rsid w:val="00435162"/>
    <w:rsid w:val="0043645B"/>
    <w:rsid w:val="00436F46"/>
    <w:rsid w:val="00440575"/>
    <w:rsid w:val="00442604"/>
    <w:rsid w:val="00443322"/>
    <w:rsid w:val="004460AC"/>
    <w:rsid w:val="004467A0"/>
    <w:rsid w:val="004510F3"/>
    <w:rsid w:val="00451116"/>
    <w:rsid w:val="00452077"/>
    <w:rsid w:val="00453080"/>
    <w:rsid w:val="004532FD"/>
    <w:rsid w:val="00454D3B"/>
    <w:rsid w:val="0045649E"/>
    <w:rsid w:val="004603CB"/>
    <w:rsid w:val="00460ABC"/>
    <w:rsid w:val="004611D9"/>
    <w:rsid w:val="004614CF"/>
    <w:rsid w:val="00463AD9"/>
    <w:rsid w:val="00464688"/>
    <w:rsid w:val="00465176"/>
    <w:rsid w:val="00465D15"/>
    <w:rsid w:val="004661F6"/>
    <w:rsid w:val="0047012E"/>
    <w:rsid w:val="004711A2"/>
    <w:rsid w:val="00472041"/>
    <w:rsid w:val="00473125"/>
    <w:rsid w:val="004732A5"/>
    <w:rsid w:val="004736F2"/>
    <w:rsid w:val="00474007"/>
    <w:rsid w:val="004752E9"/>
    <w:rsid w:val="00476216"/>
    <w:rsid w:val="00477332"/>
    <w:rsid w:val="00480185"/>
    <w:rsid w:val="00480C56"/>
    <w:rsid w:val="00480D07"/>
    <w:rsid w:val="004823AD"/>
    <w:rsid w:val="00484A07"/>
    <w:rsid w:val="00484EF5"/>
    <w:rsid w:val="0048503E"/>
    <w:rsid w:val="004853BB"/>
    <w:rsid w:val="00485F2A"/>
    <w:rsid w:val="0048722F"/>
    <w:rsid w:val="00491119"/>
    <w:rsid w:val="00492541"/>
    <w:rsid w:val="004929AA"/>
    <w:rsid w:val="00493EA5"/>
    <w:rsid w:val="004979C5"/>
    <w:rsid w:val="004A0C39"/>
    <w:rsid w:val="004A21D8"/>
    <w:rsid w:val="004A591F"/>
    <w:rsid w:val="004A6369"/>
    <w:rsid w:val="004A75E2"/>
    <w:rsid w:val="004B06E1"/>
    <w:rsid w:val="004B0A30"/>
    <w:rsid w:val="004B10FD"/>
    <w:rsid w:val="004B3304"/>
    <w:rsid w:val="004B3BD1"/>
    <w:rsid w:val="004B4970"/>
    <w:rsid w:val="004B52EF"/>
    <w:rsid w:val="004B6ABC"/>
    <w:rsid w:val="004C07C1"/>
    <w:rsid w:val="004C0F43"/>
    <w:rsid w:val="004C1ACF"/>
    <w:rsid w:val="004C2251"/>
    <w:rsid w:val="004C3336"/>
    <w:rsid w:val="004C3E90"/>
    <w:rsid w:val="004C4DBA"/>
    <w:rsid w:val="004C5CCB"/>
    <w:rsid w:val="004C731D"/>
    <w:rsid w:val="004C783C"/>
    <w:rsid w:val="004D2236"/>
    <w:rsid w:val="004D2812"/>
    <w:rsid w:val="004D3150"/>
    <w:rsid w:val="004D36D9"/>
    <w:rsid w:val="004D4485"/>
    <w:rsid w:val="004D4EC8"/>
    <w:rsid w:val="004D5C7E"/>
    <w:rsid w:val="004E052A"/>
    <w:rsid w:val="004E2067"/>
    <w:rsid w:val="004E2E95"/>
    <w:rsid w:val="004E40AE"/>
    <w:rsid w:val="004E45B4"/>
    <w:rsid w:val="004E64FF"/>
    <w:rsid w:val="004E7644"/>
    <w:rsid w:val="004F1964"/>
    <w:rsid w:val="004F304A"/>
    <w:rsid w:val="004F424A"/>
    <w:rsid w:val="004F436F"/>
    <w:rsid w:val="004F4A0B"/>
    <w:rsid w:val="004F4B83"/>
    <w:rsid w:val="004F4F1C"/>
    <w:rsid w:val="004F58C6"/>
    <w:rsid w:val="004F61D1"/>
    <w:rsid w:val="005004D0"/>
    <w:rsid w:val="00501B72"/>
    <w:rsid w:val="0050246E"/>
    <w:rsid w:val="0050252E"/>
    <w:rsid w:val="00503583"/>
    <w:rsid w:val="0050399A"/>
    <w:rsid w:val="00503BAC"/>
    <w:rsid w:val="00503C17"/>
    <w:rsid w:val="00503D96"/>
    <w:rsid w:val="005047DF"/>
    <w:rsid w:val="00504D20"/>
    <w:rsid w:val="0050553E"/>
    <w:rsid w:val="00506D8D"/>
    <w:rsid w:val="00507989"/>
    <w:rsid w:val="00510364"/>
    <w:rsid w:val="00510838"/>
    <w:rsid w:val="00514EFC"/>
    <w:rsid w:val="005152BE"/>
    <w:rsid w:val="00515BC0"/>
    <w:rsid w:val="00515F05"/>
    <w:rsid w:val="00516DFF"/>
    <w:rsid w:val="00517B24"/>
    <w:rsid w:val="00521704"/>
    <w:rsid w:val="00521ABA"/>
    <w:rsid w:val="005222F2"/>
    <w:rsid w:val="0052384A"/>
    <w:rsid w:val="00524439"/>
    <w:rsid w:val="005247E5"/>
    <w:rsid w:val="00525721"/>
    <w:rsid w:val="00527009"/>
    <w:rsid w:val="005278C3"/>
    <w:rsid w:val="00527CD4"/>
    <w:rsid w:val="00527D84"/>
    <w:rsid w:val="005305B4"/>
    <w:rsid w:val="0053313C"/>
    <w:rsid w:val="00533161"/>
    <w:rsid w:val="00535353"/>
    <w:rsid w:val="0053574A"/>
    <w:rsid w:val="00536929"/>
    <w:rsid w:val="00540DB9"/>
    <w:rsid w:val="00541A3B"/>
    <w:rsid w:val="005426D2"/>
    <w:rsid w:val="00542879"/>
    <w:rsid w:val="00543561"/>
    <w:rsid w:val="00543696"/>
    <w:rsid w:val="00544082"/>
    <w:rsid w:val="00544B4C"/>
    <w:rsid w:val="005458D6"/>
    <w:rsid w:val="005460AA"/>
    <w:rsid w:val="005464B3"/>
    <w:rsid w:val="00546A1E"/>
    <w:rsid w:val="00550575"/>
    <w:rsid w:val="0055109E"/>
    <w:rsid w:val="00551F1F"/>
    <w:rsid w:val="0055274B"/>
    <w:rsid w:val="00552773"/>
    <w:rsid w:val="005543BD"/>
    <w:rsid w:val="005543E7"/>
    <w:rsid w:val="00554DA1"/>
    <w:rsid w:val="005558F2"/>
    <w:rsid w:val="00556183"/>
    <w:rsid w:val="005561EA"/>
    <w:rsid w:val="00557995"/>
    <w:rsid w:val="00557BE1"/>
    <w:rsid w:val="00562814"/>
    <w:rsid w:val="0056316B"/>
    <w:rsid w:val="00563F0B"/>
    <w:rsid w:val="0056564D"/>
    <w:rsid w:val="0056616F"/>
    <w:rsid w:val="005729F0"/>
    <w:rsid w:val="00573780"/>
    <w:rsid w:val="00574499"/>
    <w:rsid w:val="00581CE6"/>
    <w:rsid w:val="00583F09"/>
    <w:rsid w:val="00585353"/>
    <w:rsid w:val="005859FE"/>
    <w:rsid w:val="00590DEE"/>
    <w:rsid w:val="0059150A"/>
    <w:rsid w:val="005918A2"/>
    <w:rsid w:val="00591C87"/>
    <w:rsid w:val="00592CEB"/>
    <w:rsid w:val="00592DC7"/>
    <w:rsid w:val="00592E1D"/>
    <w:rsid w:val="0059389B"/>
    <w:rsid w:val="005960C2"/>
    <w:rsid w:val="0059611D"/>
    <w:rsid w:val="00596523"/>
    <w:rsid w:val="00596AE4"/>
    <w:rsid w:val="005A07C1"/>
    <w:rsid w:val="005A0A6E"/>
    <w:rsid w:val="005A1F76"/>
    <w:rsid w:val="005A2744"/>
    <w:rsid w:val="005A31AB"/>
    <w:rsid w:val="005A32FF"/>
    <w:rsid w:val="005A3BE9"/>
    <w:rsid w:val="005A40E2"/>
    <w:rsid w:val="005A46B2"/>
    <w:rsid w:val="005A4DDA"/>
    <w:rsid w:val="005A5A59"/>
    <w:rsid w:val="005A7B7C"/>
    <w:rsid w:val="005B02ED"/>
    <w:rsid w:val="005B32D4"/>
    <w:rsid w:val="005B3D6C"/>
    <w:rsid w:val="005B3E8B"/>
    <w:rsid w:val="005B6218"/>
    <w:rsid w:val="005B697F"/>
    <w:rsid w:val="005B69FD"/>
    <w:rsid w:val="005B7C91"/>
    <w:rsid w:val="005B7F71"/>
    <w:rsid w:val="005C0C42"/>
    <w:rsid w:val="005C188D"/>
    <w:rsid w:val="005C1E30"/>
    <w:rsid w:val="005C3EB1"/>
    <w:rsid w:val="005C4251"/>
    <w:rsid w:val="005C4D87"/>
    <w:rsid w:val="005C548E"/>
    <w:rsid w:val="005C616F"/>
    <w:rsid w:val="005D4FEA"/>
    <w:rsid w:val="005D6315"/>
    <w:rsid w:val="005E2DBC"/>
    <w:rsid w:val="005E3322"/>
    <w:rsid w:val="005E37B9"/>
    <w:rsid w:val="005E3F5B"/>
    <w:rsid w:val="005E7C5C"/>
    <w:rsid w:val="005F117A"/>
    <w:rsid w:val="005F4650"/>
    <w:rsid w:val="00601210"/>
    <w:rsid w:val="0060193B"/>
    <w:rsid w:val="00601FE7"/>
    <w:rsid w:val="00602ACD"/>
    <w:rsid w:val="00603267"/>
    <w:rsid w:val="00603467"/>
    <w:rsid w:val="00606054"/>
    <w:rsid w:val="00606C35"/>
    <w:rsid w:val="006079F8"/>
    <w:rsid w:val="006103C7"/>
    <w:rsid w:val="00610F54"/>
    <w:rsid w:val="00611FAA"/>
    <w:rsid w:val="006121A1"/>
    <w:rsid w:val="00612413"/>
    <w:rsid w:val="0061265B"/>
    <w:rsid w:val="00613C5A"/>
    <w:rsid w:val="00613F8A"/>
    <w:rsid w:val="0061610E"/>
    <w:rsid w:val="0061687A"/>
    <w:rsid w:val="00617BB8"/>
    <w:rsid w:val="00617F3E"/>
    <w:rsid w:val="006230E4"/>
    <w:rsid w:val="006236E0"/>
    <w:rsid w:val="006252C4"/>
    <w:rsid w:val="00625AAD"/>
    <w:rsid w:val="006268E5"/>
    <w:rsid w:val="00626B1E"/>
    <w:rsid w:val="00626B5D"/>
    <w:rsid w:val="00626D8F"/>
    <w:rsid w:val="0063125C"/>
    <w:rsid w:val="00631440"/>
    <w:rsid w:val="00632BF6"/>
    <w:rsid w:val="00632EBD"/>
    <w:rsid w:val="00632EFD"/>
    <w:rsid w:val="00634F57"/>
    <w:rsid w:val="00636F9B"/>
    <w:rsid w:val="00637818"/>
    <w:rsid w:val="00637C20"/>
    <w:rsid w:val="00640914"/>
    <w:rsid w:val="006421C0"/>
    <w:rsid w:val="00642F27"/>
    <w:rsid w:val="00644935"/>
    <w:rsid w:val="00644A25"/>
    <w:rsid w:val="006456B6"/>
    <w:rsid w:val="006464C8"/>
    <w:rsid w:val="00646921"/>
    <w:rsid w:val="0064732F"/>
    <w:rsid w:val="00647E28"/>
    <w:rsid w:val="00650E24"/>
    <w:rsid w:val="00651486"/>
    <w:rsid w:val="006528E4"/>
    <w:rsid w:val="00653993"/>
    <w:rsid w:val="0065465A"/>
    <w:rsid w:val="0065516B"/>
    <w:rsid w:val="00656C12"/>
    <w:rsid w:val="00656C3A"/>
    <w:rsid w:val="00657BA9"/>
    <w:rsid w:val="006605A4"/>
    <w:rsid w:val="006623C9"/>
    <w:rsid w:val="0066365A"/>
    <w:rsid w:val="0066611A"/>
    <w:rsid w:val="006701F6"/>
    <w:rsid w:val="0067068B"/>
    <w:rsid w:val="00671573"/>
    <w:rsid w:val="00672A2B"/>
    <w:rsid w:val="00681C14"/>
    <w:rsid w:val="00682277"/>
    <w:rsid w:val="0068376F"/>
    <w:rsid w:val="006851A7"/>
    <w:rsid w:val="0068526A"/>
    <w:rsid w:val="00685E63"/>
    <w:rsid w:val="006869DD"/>
    <w:rsid w:val="006879B7"/>
    <w:rsid w:val="006903B2"/>
    <w:rsid w:val="00690E30"/>
    <w:rsid w:val="00691754"/>
    <w:rsid w:val="006919AA"/>
    <w:rsid w:val="00691D0C"/>
    <w:rsid w:val="006933F9"/>
    <w:rsid w:val="00693A89"/>
    <w:rsid w:val="00694F4A"/>
    <w:rsid w:val="00695219"/>
    <w:rsid w:val="00695CE5"/>
    <w:rsid w:val="00695E3E"/>
    <w:rsid w:val="006A1337"/>
    <w:rsid w:val="006A3185"/>
    <w:rsid w:val="006A3DED"/>
    <w:rsid w:val="006A4AC0"/>
    <w:rsid w:val="006A50AB"/>
    <w:rsid w:val="006A749C"/>
    <w:rsid w:val="006B3179"/>
    <w:rsid w:val="006B47F7"/>
    <w:rsid w:val="006B71E2"/>
    <w:rsid w:val="006B75A4"/>
    <w:rsid w:val="006C0DC1"/>
    <w:rsid w:val="006C0DD0"/>
    <w:rsid w:val="006C71C2"/>
    <w:rsid w:val="006D0BF8"/>
    <w:rsid w:val="006D186B"/>
    <w:rsid w:val="006D25F3"/>
    <w:rsid w:val="006D2A3A"/>
    <w:rsid w:val="006D4A76"/>
    <w:rsid w:val="006D5402"/>
    <w:rsid w:val="006D5A1A"/>
    <w:rsid w:val="006D621D"/>
    <w:rsid w:val="006D62A0"/>
    <w:rsid w:val="006D6F51"/>
    <w:rsid w:val="006D76D2"/>
    <w:rsid w:val="006E0D4D"/>
    <w:rsid w:val="006E152C"/>
    <w:rsid w:val="006E5A65"/>
    <w:rsid w:val="006E5B12"/>
    <w:rsid w:val="006E6BE3"/>
    <w:rsid w:val="006E6EDF"/>
    <w:rsid w:val="006E73F2"/>
    <w:rsid w:val="006E7A5B"/>
    <w:rsid w:val="006F1034"/>
    <w:rsid w:val="006F23DA"/>
    <w:rsid w:val="006F4DFD"/>
    <w:rsid w:val="006F65B0"/>
    <w:rsid w:val="0070038D"/>
    <w:rsid w:val="007003E6"/>
    <w:rsid w:val="00703718"/>
    <w:rsid w:val="00712725"/>
    <w:rsid w:val="00713AF0"/>
    <w:rsid w:val="00713CAD"/>
    <w:rsid w:val="0071692B"/>
    <w:rsid w:val="00716C00"/>
    <w:rsid w:val="00716C63"/>
    <w:rsid w:val="0071751F"/>
    <w:rsid w:val="00720BC4"/>
    <w:rsid w:val="00723337"/>
    <w:rsid w:val="00723DAB"/>
    <w:rsid w:val="00724587"/>
    <w:rsid w:val="0072597D"/>
    <w:rsid w:val="00725FD5"/>
    <w:rsid w:val="0072662F"/>
    <w:rsid w:val="007276F3"/>
    <w:rsid w:val="00731576"/>
    <w:rsid w:val="00731589"/>
    <w:rsid w:val="00731990"/>
    <w:rsid w:val="007347A0"/>
    <w:rsid w:val="00736544"/>
    <w:rsid w:val="00742A0C"/>
    <w:rsid w:val="0074379B"/>
    <w:rsid w:val="0074443D"/>
    <w:rsid w:val="00744998"/>
    <w:rsid w:val="00745D09"/>
    <w:rsid w:val="00746361"/>
    <w:rsid w:val="0075396E"/>
    <w:rsid w:val="007544C8"/>
    <w:rsid w:val="00755103"/>
    <w:rsid w:val="00755912"/>
    <w:rsid w:val="007574B0"/>
    <w:rsid w:val="00757B14"/>
    <w:rsid w:val="007600A3"/>
    <w:rsid w:val="007604C1"/>
    <w:rsid w:val="0076063E"/>
    <w:rsid w:val="00762541"/>
    <w:rsid w:val="00763029"/>
    <w:rsid w:val="00763117"/>
    <w:rsid w:val="0076311F"/>
    <w:rsid w:val="00763A38"/>
    <w:rsid w:val="00770ABA"/>
    <w:rsid w:val="00771F8F"/>
    <w:rsid w:val="00772162"/>
    <w:rsid w:val="007721D1"/>
    <w:rsid w:val="00774969"/>
    <w:rsid w:val="00774D93"/>
    <w:rsid w:val="00776AF4"/>
    <w:rsid w:val="00777130"/>
    <w:rsid w:val="007772B6"/>
    <w:rsid w:val="0077737C"/>
    <w:rsid w:val="007810D1"/>
    <w:rsid w:val="0078441B"/>
    <w:rsid w:val="00784E3A"/>
    <w:rsid w:val="00786DD4"/>
    <w:rsid w:val="00787290"/>
    <w:rsid w:val="00787880"/>
    <w:rsid w:val="00790A87"/>
    <w:rsid w:val="0079242F"/>
    <w:rsid w:val="00794904"/>
    <w:rsid w:val="00794AB8"/>
    <w:rsid w:val="00795E5A"/>
    <w:rsid w:val="00797023"/>
    <w:rsid w:val="00797721"/>
    <w:rsid w:val="007A28CF"/>
    <w:rsid w:val="007A515C"/>
    <w:rsid w:val="007A6A6F"/>
    <w:rsid w:val="007A7195"/>
    <w:rsid w:val="007B08D1"/>
    <w:rsid w:val="007B128B"/>
    <w:rsid w:val="007B430C"/>
    <w:rsid w:val="007B523A"/>
    <w:rsid w:val="007B5C49"/>
    <w:rsid w:val="007B64A5"/>
    <w:rsid w:val="007B7754"/>
    <w:rsid w:val="007C02DD"/>
    <w:rsid w:val="007C0AD0"/>
    <w:rsid w:val="007C165E"/>
    <w:rsid w:val="007C231E"/>
    <w:rsid w:val="007C27FA"/>
    <w:rsid w:val="007C44B4"/>
    <w:rsid w:val="007C46C8"/>
    <w:rsid w:val="007C526B"/>
    <w:rsid w:val="007C5F7E"/>
    <w:rsid w:val="007C68F6"/>
    <w:rsid w:val="007D07EC"/>
    <w:rsid w:val="007D1AB0"/>
    <w:rsid w:val="007D2C9C"/>
    <w:rsid w:val="007D366B"/>
    <w:rsid w:val="007D38FC"/>
    <w:rsid w:val="007D3A08"/>
    <w:rsid w:val="007D42ED"/>
    <w:rsid w:val="007D5C16"/>
    <w:rsid w:val="007D6498"/>
    <w:rsid w:val="007D78FC"/>
    <w:rsid w:val="007E0B92"/>
    <w:rsid w:val="007E3874"/>
    <w:rsid w:val="007E64D2"/>
    <w:rsid w:val="007E6E48"/>
    <w:rsid w:val="007E7900"/>
    <w:rsid w:val="007F0476"/>
    <w:rsid w:val="007F0583"/>
    <w:rsid w:val="007F0704"/>
    <w:rsid w:val="007F1DAD"/>
    <w:rsid w:val="007F25AB"/>
    <w:rsid w:val="007F266D"/>
    <w:rsid w:val="007F2E0C"/>
    <w:rsid w:val="007F43F8"/>
    <w:rsid w:val="007F5DD3"/>
    <w:rsid w:val="007F6336"/>
    <w:rsid w:val="007F70A9"/>
    <w:rsid w:val="0080099F"/>
    <w:rsid w:val="008045C8"/>
    <w:rsid w:val="00805DA3"/>
    <w:rsid w:val="00806DDD"/>
    <w:rsid w:val="00806E1E"/>
    <w:rsid w:val="00810964"/>
    <w:rsid w:val="00811F46"/>
    <w:rsid w:val="0081222A"/>
    <w:rsid w:val="00812959"/>
    <w:rsid w:val="008133E6"/>
    <w:rsid w:val="0081408A"/>
    <w:rsid w:val="00814470"/>
    <w:rsid w:val="008209B5"/>
    <w:rsid w:val="008215C6"/>
    <w:rsid w:val="008223FD"/>
    <w:rsid w:val="00823386"/>
    <w:rsid w:val="00823D1C"/>
    <w:rsid w:val="008241FE"/>
    <w:rsid w:val="0082469C"/>
    <w:rsid w:val="0082555C"/>
    <w:rsid w:val="00825AF4"/>
    <w:rsid w:val="0082608A"/>
    <w:rsid w:val="00827697"/>
    <w:rsid w:val="0083044F"/>
    <w:rsid w:val="00831D99"/>
    <w:rsid w:val="00833327"/>
    <w:rsid w:val="00834369"/>
    <w:rsid w:val="00835972"/>
    <w:rsid w:val="008367EA"/>
    <w:rsid w:val="00843C34"/>
    <w:rsid w:val="00844652"/>
    <w:rsid w:val="00844D49"/>
    <w:rsid w:val="00845A6E"/>
    <w:rsid w:val="00846456"/>
    <w:rsid w:val="00850141"/>
    <w:rsid w:val="00850CE2"/>
    <w:rsid w:val="00850D2E"/>
    <w:rsid w:val="0085158C"/>
    <w:rsid w:val="0085291F"/>
    <w:rsid w:val="00852D24"/>
    <w:rsid w:val="00855616"/>
    <w:rsid w:val="00855B8E"/>
    <w:rsid w:val="008560DC"/>
    <w:rsid w:val="00856755"/>
    <w:rsid w:val="00856BBE"/>
    <w:rsid w:val="0085787F"/>
    <w:rsid w:val="00860652"/>
    <w:rsid w:val="00863E59"/>
    <w:rsid w:val="00865A41"/>
    <w:rsid w:val="0086798B"/>
    <w:rsid w:val="00870C4F"/>
    <w:rsid w:val="00870CF2"/>
    <w:rsid w:val="008713FE"/>
    <w:rsid w:val="00871527"/>
    <w:rsid w:val="008730CB"/>
    <w:rsid w:val="00873866"/>
    <w:rsid w:val="008759F9"/>
    <w:rsid w:val="00876761"/>
    <w:rsid w:val="00876D0E"/>
    <w:rsid w:val="00876FF8"/>
    <w:rsid w:val="00877DB2"/>
    <w:rsid w:val="00881473"/>
    <w:rsid w:val="00881DD0"/>
    <w:rsid w:val="00881FB1"/>
    <w:rsid w:val="00882696"/>
    <w:rsid w:val="008837C5"/>
    <w:rsid w:val="00883BCF"/>
    <w:rsid w:val="008841A8"/>
    <w:rsid w:val="00886872"/>
    <w:rsid w:val="00891312"/>
    <w:rsid w:val="00891EBF"/>
    <w:rsid w:val="0089255A"/>
    <w:rsid w:val="008927A9"/>
    <w:rsid w:val="00892BFB"/>
    <w:rsid w:val="00892F60"/>
    <w:rsid w:val="008938DF"/>
    <w:rsid w:val="008941DB"/>
    <w:rsid w:val="00896614"/>
    <w:rsid w:val="0089687B"/>
    <w:rsid w:val="008A0676"/>
    <w:rsid w:val="008A0A48"/>
    <w:rsid w:val="008A0FDE"/>
    <w:rsid w:val="008A1BAD"/>
    <w:rsid w:val="008A1F76"/>
    <w:rsid w:val="008A2292"/>
    <w:rsid w:val="008A4CBA"/>
    <w:rsid w:val="008A63FA"/>
    <w:rsid w:val="008A6644"/>
    <w:rsid w:val="008A69D8"/>
    <w:rsid w:val="008B00D6"/>
    <w:rsid w:val="008B1327"/>
    <w:rsid w:val="008B1DB0"/>
    <w:rsid w:val="008B2748"/>
    <w:rsid w:val="008B2A5F"/>
    <w:rsid w:val="008B4042"/>
    <w:rsid w:val="008B4D2C"/>
    <w:rsid w:val="008B537B"/>
    <w:rsid w:val="008B5A33"/>
    <w:rsid w:val="008B62AC"/>
    <w:rsid w:val="008B6404"/>
    <w:rsid w:val="008C074F"/>
    <w:rsid w:val="008C093D"/>
    <w:rsid w:val="008C1003"/>
    <w:rsid w:val="008C2832"/>
    <w:rsid w:val="008C3742"/>
    <w:rsid w:val="008C4DE3"/>
    <w:rsid w:val="008C5F5C"/>
    <w:rsid w:val="008C654A"/>
    <w:rsid w:val="008C6C52"/>
    <w:rsid w:val="008C6D25"/>
    <w:rsid w:val="008D2AB2"/>
    <w:rsid w:val="008D4DE5"/>
    <w:rsid w:val="008D5198"/>
    <w:rsid w:val="008D5E01"/>
    <w:rsid w:val="008D5EE5"/>
    <w:rsid w:val="008D69D7"/>
    <w:rsid w:val="008E0A85"/>
    <w:rsid w:val="008E0DD5"/>
    <w:rsid w:val="008E2083"/>
    <w:rsid w:val="008E2E2E"/>
    <w:rsid w:val="008E365A"/>
    <w:rsid w:val="008E5C64"/>
    <w:rsid w:val="008E612C"/>
    <w:rsid w:val="008E70FD"/>
    <w:rsid w:val="008E714B"/>
    <w:rsid w:val="008F1C71"/>
    <w:rsid w:val="008F1EA3"/>
    <w:rsid w:val="008F43EF"/>
    <w:rsid w:val="008F5F01"/>
    <w:rsid w:val="008F76C6"/>
    <w:rsid w:val="00900074"/>
    <w:rsid w:val="009001DA"/>
    <w:rsid w:val="009023F9"/>
    <w:rsid w:val="009039FA"/>
    <w:rsid w:val="0090451F"/>
    <w:rsid w:val="009072B3"/>
    <w:rsid w:val="0091052D"/>
    <w:rsid w:val="00910FAB"/>
    <w:rsid w:val="009118A3"/>
    <w:rsid w:val="009157AB"/>
    <w:rsid w:val="00917187"/>
    <w:rsid w:val="00917C38"/>
    <w:rsid w:val="00920FD1"/>
    <w:rsid w:val="00920FFB"/>
    <w:rsid w:val="009241D8"/>
    <w:rsid w:val="00925905"/>
    <w:rsid w:val="009273AB"/>
    <w:rsid w:val="009274F9"/>
    <w:rsid w:val="0093039B"/>
    <w:rsid w:val="009306DD"/>
    <w:rsid w:val="00930D2B"/>
    <w:rsid w:val="00931AFE"/>
    <w:rsid w:val="00935AA5"/>
    <w:rsid w:val="00935BD9"/>
    <w:rsid w:val="00936103"/>
    <w:rsid w:val="00936AEC"/>
    <w:rsid w:val="00940BB4"/>
    <w:rsid w:val="00940DC7"/>
    <w:rsid w:val="009425E5"/>
    <w:rsid w:val="0094359D"/>
    <w:rsid w:val="00946593"/>
    <w:rsid w:val="00946925"/>
    <w:rsid w:val="009477E3"/>
    <w:rsid w:val="00951FC4"/>
    <w:rsid w:val="0095273D"/>
    <w:rsid w:val="00952F7B"/>
    <w:rsid w:val="00954EC3"/>
    <w:rsid w:val="00955E1B"/>
    <w:rsid w:val="00960624"/>
    <w:rsid w:val="0096095B"/>
    <w:rsid w:val="00961103"/>
    <w:rsid w:val="00962437"/>
    <w:rsid w:val="00962897"/>
    <w:rsid w:val="00962D05"/>
    <w:rsid w:val="0096333D"/>
    <w:rsid w:val="009652E5"/>
    <w:rsid w:val="0096612D"/>
    <w:rsid w:val="00967F31"/>
    <w:rsid w:val="00970C5E"/>
    <w:rsid w:val="00970D3B"/>
    <w:rsid w:val="00971D7B"/>
    <w:rsid w:val="009723A4"/>
    <w:rsid w:val="009726CD"/>
    <w:rsid w:val="0097302E"/>
    <w:rsid w:val="00975425"/>
    <w:rsid w:val="0098089C"/>
    <w:rsid w:val="00980DEC"/>
    <w:rsid w:val="00982985"/>
    <w:rsid w:val="00984E2E"/>
    <w:rsid w:val="009862F4"/>
    <w:rsid w:val="00990C79"/>
    <w:rsid w:val="00991D48"/>
    <w:rsid w:val="00991F46"/>
    <w:rsid w:val="00992F05"/>
    <w:rsid w:val="0099403B"/>
    <w:rsid w:val="00994789"/>
    <w:rsid w:val="00994B13"/>
    <w:rsid w:val="0099593A"/>
    <w:rsid w:val="00995A1F"/>
    <w:rsid w:val="009970CA"/>
    <w:rsid w:val="00997D82"/>
    <w:rsid w:val="009A0955"/>
    <w:rsid w:val="009A2E3B"/>
    <w:rsid w:val="009A2F0D"/>
    <w:rsid w:val="009A2F24"/>
    <w:rsid w:val="009A37A9"/>
    <w:rsid w:val="009A47EE"/>
    <w:rsid w:val="009A48E2"/>
    <w:rsid w:val="009A4906"/>
    <w:rsid w:val="009A4AFA"/>
    <w:rsid w:val="009A504B"/>
    <w:rsid w:val="009A5D51"/>
    <w:rsid w:val="009A6DC9"/>
    <w:rsid w:val="009B04A1"/>
    <w:rsid w:val="009B0752"/>
    <w:rsid w:val="009B0E12"/>
    <w:rsid w:val="009B0FAD"/>
    <w:rsid w:val="009C0697"/>
    <w:rsid w:val="009C08CE"/>
    <w:rsid w:val="009C1759"/>
    <w:rsid w:val="009C1D7A"/>
    <w:rsid w:val="009C285C"/>
    <w:rsid w:val="009C2C65"/>
    <w:rsid w:val="009C346D"/>
    <w:rsid w:val="009C3A9A"/>
    <w:rsid w:val="009C7030"/>
    <w:rsid w:val="009D01F2"/>
    <w:rsid w:val="009D0429"/>
    <w:rsid w:val="009D198F"/>
    <w:rsid w:val="009D40EE"/>
    <w:rsid w:val="009D4540"/>
    <w:rsid w:val="009D548E"/>
    <w:rsid w:val="009D5F28"/>
    <w:rsid w:val="009E06A3"/>
    <w:rsid w:val="009E1C0E"/>
    <w:rsid w:val="009E6528"/>
    <w:rsid w:val="009E7914"/>
    <w:rsid w:val="009F085F"/>
    <w:rsid w:val="009F0E9D"/>
    <w:rsid w:val="009F2082"/>
    <w:rsid w:val="009F2AB0"/>
    <w:rsid w:val="009F5BA0"/>
    <w:rsid w:val="009F601B"/>
    <w:rsid w:val="009F68DB"/>
    <w:rsid w:val="009F7D03"/>
    <w:rsid w:val="009F7EE8"/>
    <w:rsid w:val="00A012A4"/>
    <w:rsid w:val="00A012BE"/>
    <w:rsid w:val="00A0352B"/>
    <w:rsid w:val="00A04194"/>
    <w:rsid w:val="00A049B5"/>
    <w:rsid w:val="00A0690A"/>
    <w:rsid w:val="00A07A3F"/>
    <w:rsid w:val="00A11247"/>
    <w:rsid w:val="00A113ED"/>
    <w:rsid w:val="00A118F4"/>
    <w:rsid w:val="00A11B6E"/>
    <w:rsid w:val="00A12AEF"/>
    <w:rsid w:val="00A13E46"/>
    <w:rsid w:val="00A14000"/>
    <w:rsid w:val="00A173C8"/>
    <w:rsid w:val="00A17422"/>
    <w:rsid w:val="00A20097"/>
    <w:rsid w:val="00A209CB"/>
    <w:rsid w:val="00A2189B"/>
    <w:rsid w:val="00A2497D"/>
    <w:rsid w:val="00A26E9A"/>
    <w:rsid w:val="00A3006A"/>
    <w:rsid w:val="00A30B87"/>
    <w:rsid w:val="00A31CA5"/>
    <w:rsid w:val="00A3228D"/>
    <w:rsid w:val="00A32C2D"/>
    <w:rsid w:val="00A32DEB"/>
    <w:rsid w:val="00A33863"/>
    <w:rsid w:val="00A345DD"/>
    <w:rsid w:val="00A35B88"/>
    <w:rsid w:val="00A36325"/>
    <w:rsid w:val="00A36C52"/>
    <w:rsid w:val="00A36C6E"/>
    <w:rsid w:val="00A371E4"/>
    <w:rsid w:val="00A37CFB"/>
    <w:rsid w:val="00A4078A"/>
    <w:rsid w:val="00A408A2"/>
    <w:rsid w:val="00A40D56"/>
    <w:rsid w:val="00A42987"/>
    <w:rsid w:val="00A4468C"/>
    <w:rsid w:val="00A461C6"/>
    <w:rsid w:val="00A4762A"/>
    <w:rsid w:val="00A47726"/>
    <w:rsid w:val="00A479B3"/>
    <w:rsid w:val="00A50721"/>
    <w:rsid w:val="00A50C5C"/>
    <w:rsid w:val="00A51618"/>
    <w:rsid w:val="00A5175B"/>
    <w:rsid w:val="00A535A0"/>
    <w:rsid w:val="00A55029"/>
    <w:rsid w:val="00A560EB"/>
    <w:rsid w:val="00A57C3A"/>
    <w:rsid w:val="00A57F1B"/>
    <w:rsid w:val="00A64524"/>
    <w:rsid w:val="00A64632"/>
    <w:rsid w:val="00A6513E"/>
    <w:rsid w:val="00A721CD"/>
    <w:rsid w:val="00A72C46"/>
    <w:rsid w:val="00A7354A"/>
    <w:rsid w:val="00A7387C"/>
    <w:rsid w:val="00A73C95"/>
    <w:rsid w:val="00A74FD5"/>
    <w:rsid w:val="00A7548D"/>
    <w:rsid w:val="00A75812"/>
    <w:rsid w:val="00A76BC7"/>
    <w:rsid w:val="00A814BA"/>
    <w:rsid w:val="00A8188B"/>
    <w:rsid w:val="00A8232B"/>
    <w:rsid w:val="00A82D61"/>
    <w:rsid w:val="00A82E95"/>
    <w:rsid w:val="00A82F38"/>
    <w:rsid w:val="00A82F75"/>
    <w:rsid w:val="00A83C2F"/>
    <w:rsid w:val="00A8629B"/>
    <w:rsid w:val="00A86839"/>
    <w:rsid w:val="00A86AB6"/>
    <w:rsid w:val="00A920AE"/>
    <w:rsid w:val="00A927F2"/>
    <w:rsid w:val="00A92F22"/>
    <w:rsid w:val="00A93549"/>
    <w:rsid w:val="00A9468F"/>
    <w:rsid w:val="00A96546"/>
    <w:rsid w:val="00A96FC3"/>
    <w:rsid w:val="00A97CBC"/>
    <w:rsid w:val="00A97D89"/>
    <w:rsid w:val="00AA18C4"/>
    <w:rsid w:val="00AA1BA5"/>
    <w:rsid w:val="00AA1FF0"/>
    <w:rsid w:val="00AA3F5C"/>
    <w:rsid w:val="00AA4AC2"/>
    <w:rsid w:val="00AA5883"/>
    <w:rsid w:val="00AA70FB"/>
    <w:rsid w:val="00AB08B1"/>
    <w:rsid w:val="00AB0F70"/>
    <w:rsid w:val="00AB3348"/>
    <w:rsid w:val="00AB50AA"/>
    <w:rsid w:val="00AB6C66"/>
    <w:rsid w:val="00AB7F12"/>
    <w:rsid w:val="00AC234F"/>
    <w:rsid w:val="00AC419A"/>
    <w:rsid w:val="00AC62EC"/>
    <w:rsid w:val="00AC65BF"/>
    <w:rsid w:val="00AC6F02"/>
    <w:rsid w:val="00AC7626"/>
    <w:rsid w:val="00AC79A5"/>
    <w:rsid w:val="00AC7C21"/>
    <w:rsid w:val="00AC7D11"/>
    <w:rsid w:val="00AD0A46"/>
    <w:rsid w:val="00AD3182"/>
    <w:rsid w:val="00AD47A2"/>
    <w:rsid w:val="00AD66A9"/>
    <w:rsid w:val="00AD7B33"/>
    <w:rsid w:val="00AE0AB2"/>
    <w:rsid w:val="00AE52FD"/>
    <w:rsid w:val="00AE65C4"/>
    <w:rsid w:val="00AE721D"/>
    <w:rsid w:val="00AF041D"/>
    <w:rsid w:val="00AF11C9"/>
    <w:rsid w:val="00AF3251"/>
    <w:rsid w:val="00AF3496"/>
    <w:rsid w:val="00AF3B10"/>
    <w:rsid w:val="00AF4286"/>
    <w:rsid w:val="00AF627F"/>
    <w:rsid w:val="00AF6CAA"/>
    <w:rsid w:val="00AF719D"/>
    <w:rsid w:val="00B0063D"/>
    <w:rsid w:val="00B008C0"/>
    <w:rsid w:val="00B01D76"/>
    <w:rsid w:val="00B01F79"/>
    <w:rsid w:val="00B04DBE"/>
    <w:rsid w:val="00B06F8C"/>
    <w:rsid w:val="00B07779"/>
    <w:rsid w:val="00B10053"/>
    <w:rsid w:val="00B10280"/>
    <w:rsid w:val="00B14308"/>
    <w:rsid w:val="00B14D2F"/>
    <w:rsid w:val="00B16DDC"/>
    <w:rsid w:val="00B17CBD"/>
    <w:rsid w:val="00B20BA3"/>
    <w:rsid w:val="00B22F2E"/>
    <w:rsid w:val="00B22FEC"/>
    <w:rsid w:val="00B235BA"/>
    <w:rsid w:val="00B237FA"/>
    <w:rsid w:val="00B24089"/>
    <w:rsid w:val="00B242AA"/>
    <w:rsid w:val="00B24652"/>
    <w:rsid w:val="00B25031"/>
    <w:rsid w:val="00B25E15"/>
    <w:rsid w:val="00B25EF9"/>
    <w:rsid w:val="00B26C77"/>
    <w:rsid w:val="00B272A4"/>
    <w:rsid w:val="00B319D6"/>
    <w:rsid w:val="00B3398D"/>
    <w:rsid w:val="00B418B3"/>
    <w:rsid w:val="00B44423"/>
    <w:rsid w:val="00B45173"/>
    <w:rsid w:val="00B46B32"/>
    <w:rsid w:val="00B46D15"/>
    <w:rsid w:val="00B50189"/>
    <w:rsid w:val="00B5033D"/>
    <w:rsid w:val="00B51BB0"/>
    <w:rsid w:val="00B5271A"/>
    <w:rsid w:val="00B52D00"/>
    <w:rsid w:val="00B54893"/>
    <w:rsid w:val="00B54BA3"/>
    <w:rsid w:val="00B55F43"/>
    <w:rsid w:val="00B60873"/>
    <w:rsid w:val="00B609F5"/>
    <w:rsid w:val="00B60A92"/>
    <w:rsid w:val="00B6106F"/>
    <w:rsid w:val="00B61A6A"/>
    <w:rsid w:val="00B623DF"/>
    <w:rsid w:val="00B64335"/>
    <w:rsid w:val="00B65527"/>
    <w:rsid w:val="00B65812"/>
    <w:rsid w:val="00B65BE0"/>
    <w:rsid w:val="00B65E8F"/>
    <w:rsid w:val="00B66CCB"/>
    <w:rsid w:val="00B66D23"/>
    <w:rsid w:val="00B70A8B"/>
    <w:rsid w:val="00B717B0"/>
    <w:rsid w:val="00B72458"/>
    <w:rsid w:val="00B72633"/>
    <w:rsid w:val="00B72FC0"/>
    <w:rsid w:val="00B73A23"/>
    <w:rsid w:val="00B7436C"/>
    <w:rsid w:val="00B74BDE"/>
    <w:rsid w:val="00B76F1F"/>
    <w:rsid w:val="00B77343"/>
    <w:rsid w:val="00B80560"/>
    <w:rsid w:val="00B82B31"/>
    <w:rsid w:val="00B846FB"/>
    <w:rsid w:val="00B855E5"/>
    <w:rsid w:val="00B85BE0"/>
    <w:rsid w:val="00B86D51"/>
    <w:rsid w:val="00B87F68"/>
    <w:rsid w:val="00B91683"/>
    <w:rsid w:val="00B91739"/>
    <w:rsid w:val="00B92BD2"/>
    <w:rsid w:val="00B93931"/>
    <w:rsid w:val="00B93B71"/>
    <w:rsid w:val="00B9403B"/>
    <w:rsid w:val="00B94887"/>
    <w:rsid w:val="00B94C61"/>
    <w:rsid w:val="00B95EAE"/>
    <w:rsid w:val="00B9797B"/>
    <w:rsid w:val="00BA00B8"/>
    <w:rsid w:val="00BA2013"/>
    <w:rsid w:val="00BA303C"/>
    <w:rsid w:val="00BA3138"/>
    <w:rsid w:val="00BA5465"/>
    <w:rsid w:val="00BA59D9"/>
    <w:rsid w:val="00BA5BCD"/>
    <w:rsid w:val="00BA6507"/>
    <w:rsid w:val="00BA69E8"/>
    <w:rsid w:val="00BA7CFF"/>
    <w:rsid w:val="00BB1E54"/>
    <w:rsid w:val="00BB2A55"/>
    <w:rsid w:val="00BB3057"/>
    <w:rsid w:val="00BB33C3"/>
    <w:rsid w:val="00BB5245"/>
    <w:rsid w:val="00BB5C54"/>
    <w:rsid w:val="00BB612F"/>
    <w:rsid w:val="00BB72E0"/>
    <w:rsid w:val="00BC0455"/>
    <w:rsid w:val="00BC21BB"/>
    <w:rsid w:val="00BC299E"/>
    <w:rsid w:val="00BC32F7"/>
    <w:rsid w:val="00BC3417"/>
    <w:rsid w:val="00BC36F4"/>
    <w:rsid w:val="00BC36FA"/>
    <w:rsid w:val="00BC4215"/>
    <w:rsid w:val="00BC7388"/>
    <w:rsid w:val="00BD1D23"/>
    <w:rsid w:val="00BD4E5D"/>
    <w:rsid w:val="00BD5BB5"/>
    <w:rsid w:val="00BE0312"/>
    <w:rsid w:val="00BE2BC6"/>
    <w:rsid w:val="00BE42B5"/>
    <w:rsid w:val="00BE516E"/>
    <w:rsid w:val="00BE57A1"/>
    <w:rsid w:val="00BE5970"/>
    <w:rsid w:val="00BE746E"/>
    <w:rsid w:val="00BE7DC9"/>
    <w:rsid w:val="00BF2886"/>
    <w:rsid w:val="00BF3EC8"/>
    <w:rsid w:val="00BF4AC9"/>
    <w:rsid w:val="00BF6441"/>
    <w:rsid w:val="00BF67B4"/>
    <w:rsid w:val="00BF7016"/>
    <w:rsid w:val="00BF7CC8"/>
    <w:rsid w:val="00BF7FE4"/>
    <w:rsid w:val="00C002E6"/>
    <w:rsid w:val="00C0279C"/>
    <w:rsid w:val="00C05197"/>
    <w:rsid w:val="00C05CF7"/>
    <w:rsid w:val="00C05D0F"/>
    <w:rsid w:val="00C06094"/>
    <w:rsid w:val="00C07531"/>
    <w:rsid w:val="00C11DFF"/>
    <w:rsid w:val="00C14305"/>
    <w:rsid w:val="00C15ED0"/>
    <w:rsid w:val="00C17140"/>
    <w:rsid w:val="00C219D1"/>
    <w:rsid w:val="00C232C1"/>
    <w:rsid w:val="00C237B4"/>
    <w:rsid w:val="00C249F1"/>
    <w:rsid w:val="00C25152"/>
    <w:rsid w:val="00C2561D"/>
    <w:rsid w:val="00C25F3B"/>
    <w:rsid w:val="00C27651"/>
    <w:rsid w:val="00C2797C"/>
    <w:rsid w:val="00C302A7"/>
    <w:rsid w:val="00C30301"/>
    <w:rsid w:val="00C312CA"/>
    <w:rsid w:val="00C32D0E"/>
    <w:rsid w:val="00C33B45"/>
    <w:rsid w:val="00C33D86"/>
    <w:rsid w:val="00C34F8C"/>
    <w:rsid w:val="00C353F9"/>
    <w:rsid w:val="00C36430"/>
    <w:rsid w:val="00C36FE2"/>
    <w:rsid w:val="00C42C66"/>
    <w:rsid w:val="00C44FF0"/>
    <w:rsid w:val="00C456DA"/>
    <w:rsid w:val="00C472BF"/>
    <w:rsid w:val="00C505E1"/>
    <w:rsid w:val="00C51662"/>
    <w:rsid w:val="00C52D97"/>
    <w:rsid w:val="00C53982"/>
    <w:rsid w:val="00C5486B"/>
    <w:rsid w:val="00C54BAF"/>
    <w:rsid w:val="00C55902"/>
    <w:rsid w:val="00C564A6"/>
    <w:rsid w:val="00C57153"/>
    <w:rsid w:val="00C6046A"/>
    <w:rsid w:val="00C608DB"/>
    <w:rsid w:val="00C60A0E"/>
    <w:rsid w:val="00C61D8A"/>
    <w:rsid w:val="00C6239F"/>
    <w:rsid w:val="00C62508"/>
    <w:rsid w:val="00C631E1"/>
    <w:rsid w:val="00C65EBB"/>
    <w:rsid w:val="00C67D94"/>
    <w:rsid w:val="00C71BC8"/>
    <w:rsid w:val="00C7284F"/>
    <w:rsid w:val="00C72B53"/>
    <w:rsid w:val="00C73318"/>
    <w:rsid w:val="00C73E4B"/>
    <w:rsid w:val="00C7499D"/>
    <w:rsid w:val="00C7559F"/>
    <w:rsid w:val="00C765AC"/>
    <w:rsid w:val="00C772DB"/>
    <w:rsid w:val="00C8018D"/>
    <w:rsid w:val="00C80366"/>
    <w:rsid w:val="00C818EF"/>
    <w:rsid w:val="00C839BF"/>
    <w:rsid w:val="00C83C53"/>
    <w:rsid w:val="00C85B96"/>
    <w:rsid w:val="00C86CBE"/>
    <w:rsid w:val="00C86DEC"/>
    <w:rsid w:val="00C908CF"/>
    <w:rsid w:val="00C916E1"/>
    <w:rsid w:val="00C94EEE"/>
    <w:rsid w:val="00C95492"/>
    <w:rsid w:val="00C95C1E"/>
    <w:rsid w:val="00C963DA"/>
    <w:rsid w:val="00C96A5D"/>
    <w:rsid w:val="00CA09A7"/>
    <w:rsid w:val="00CA34AD"/>
    <w:rsid w:val="00CA4333"/>
    <w:rsid w:val="00CA4E72"/>
    <w:rsid w:val="00CA6C98"/>
    <w:rsid w:val="00CB0CCD"/>
    <w:rsid w:val="00CB0F03"/>
    <w:rsid w:val="00CB431A"/>
    <w:rsid w:val="00CB4F40"/>
    <w:rsid w:val="00CB5849"/>
    <w:rsid w:val="00CB67AA"/>
    <w:rsid w:val="00CB71D0"/>
    <w:rsid w:val="00CB7D69"/>
    <w:rsid w:val="00CC0097"/>
    <w:rsid w:val="00CC1486"/>
    <w:rsid w:val="00CC29EA"/>
    <w:rsid w:val="00CC3E25"/>
    <w:rsid w:val="00CC4699"/>
    <w:rsid w:val="00CC4EC8"/>
    <w:rsid w:val="00CC5B60"/>
    <w:rsid w:val="00CC7BDA"/>
    <w:rsid w:val="00CD1CA2"/>
    <w:rsid w:val="00CD1D7E"/>
    <w:rsid w:val="00CD2C1F"/>
    <w:rsid w:val="00CD2D1F"/>
    <w:rsid w:val="00CD2ED2"/>
    <w:rsid w:val="00CD3C5E"/>
    <w:rsid w:val="00CD4736"/>
    <w:rsid w:val="00CD63B8"/>
    <w:rsid w:val="00CD663D"/>
    <w:rsid w:val="00CD66C6"/>
    <w:rsid w:val="00CD6F28"/>
    <w:rsid w:val="00CE07F2"/>
    <w:rsid w:val="00CE1F19"/>
    <w:rsid w:val="00CE2657"/>
    <w:rsid w:val="00CE2E5F"/>
    <w:rsid w:val="00CE5972"/>
    <w:rsid w:val="00CE6919"/>
    <w:rsid w:val="00CE6CF2"/>
    <w:rsid w:val="00CF05CE"/>
    <w:rsid w:val="00CF37E2"/>
    <w:rsid w:val="00CF4D87"/>
    <w:rsid w:val="00CF54BC"/>
    <w:rsid w:val="00CF59D5"/>
    <w:rsid w:val="00CF6114"/>
    <w:rsid w:val="00CF77A6"/>
    <w:rsid w:val="00D007F0"/>
    <w:rsid w:val="00D01026"/>
    <w:rsid w:val="00D04BDB"/>
    <w:rsid w:val="00D04FC7"/>
    <w:rsid w:val="00D05ACD"/>
    <w:rsid w:val="00D06A4A"/>
    <w:rsid w:val="00D07347"/>
    <w:rsid w:val="00D1016A"/>
    <w:rsid w:val="00D105F3"/>
    <w:rsid w:val="00D115EE"/>
    <w:rsid w:val="00D13C4D"/>
    <w:rsid w:val="00D14036"/>
    <w:rsid w:val="00D142D4"/>
    <w:rsid w:val="00D143E1"/>
    <w:rsid w:val="00D14F47"/>
    <w:rsid w:val="00D1511D"/>
    <w:rsid w:val="00D15E2E"/>
    <w:rsid w:val="00D17042"/>
    <w:rsid w:val="00D24985"/>
    <w:rsid w:val="00D251D1"/>
    <w:rsid w:val="00D2632C"/>
    <w:rsid w:val="00D30EC3"/>
    <w:rsid w:val="00D3101C"/>
    <w:rsid w:val="00D3308C"/>
    <w:rsid w:val="00D353C1"/>
    <w:rsid w:val="00D3554D"/>
    <w:rsid w:val="00D361E1"/>
    <w:rsid w:val="00D41871"/>
    <w:rsid w:val="00D4341D"/>
    <w:rsid w:val="00D43718"/>
    <w:rsid w:val="00D443BA"/>
    <w:rsid w:val="00D44ABC"/>
    <w:rsid w:val="00D4652A"/>
    <w:rsid w:val="00D46CAE"/>
    <w:rsid w:val="00D50B6A"/>
    <w:rsid w:val="00D53534"/>
    <w:rsid w:val="00D55567"/>
    <w:rsid w:val="00D5714B"/>
    <w:rsid w:val="00D57573"/>
    <w:rsid w:val="00D61115"/>
    <w:rsid w:val="00D62941"/>
    <w:rsid w:val="00D62C6B"/>
    <w:rsid w:val="00D71351"/>
    <w:rsid w:val="00D7218B"/>
    <w:rsid w:val="00D73677"/>
    <w:rsid w:val="00D73DBD"/>
    <w:rsid w:val="00D74371"/>
    <w:rsid w:val="00D748A9"/>
    <w:rsid w:val="00D74ED7"/>
    <w:rsid w:val="00D763DB"/>
    <w:rsid w:val="00D801AA"/>
    <w:rsid w:val="00D82575"/>
    <w:rsid w:val="00D86509"/>
    <w:rsid w:val="00D86A28"/>
    <w:rsid w:val="00D876E2"/>
    <w:rsid w:val="00D878EB"/>
    <w:rsid w:val="00D87FA9"/>
    <w:rsid w:val="00D90E8A"/>
    <w:rsid w:val="00D9203F"/>
    <w:rsid w:val="00D9388C"/>
    <w:rsid w:val="00D9469C"/>
    <w:rsid w:val="00D9583F"/>
    <w:rsid w:val="00D9666C"/>
    <w:rsid w:val="00DA04C9"/>
    <w:rsid w:val="00DA155D"/>
    <w:rsid w:val="00DA3336"/>
    <w:rsid w:val="00DA3595"/>
    <w:rsid w:val="00DA4427"/>
    <w:rsid w:val="00DA4CC1"/>
    <w:rsid w:val="00DA6695"/>
    <w:rsid w:val="00DB16BA"/>
    <w:rsid w:val="00DB1A86"/>
    <w:rsid w:val="00DB1B7B"/>
    <w:rsid w:val="00DB2AC0"/>
    <w:rsid w:val="00DB314B"/>
    <w:rsid w:val="00DB3E55"/>
    <w:rsid w:val="00DB4B04"/>
    <w:rsid w:val="00DB6F63"/>
    <w:rsid w:val="00DB7720"/>
    <w:rsid w:val="00DC1209"/>
    <w:rsid w:val="00DC15B9"/>
    <w:rsid w:val="00DC211A"/>
    <w:rsid w:val="00DC2ABA"/>
    <w:rsid w:val="00DC2C02"/>
    <w:rsid w:val="00DC309F"/>
    <w:rsid w:val="00DC3CA0"/>
    <w:rsid w:val="00DC59A1"/>
    <w:rsid w:val="00DC5D20"/>
    <w:rsid w:val="00DC61C4"/>
    <w:rsid w:val="00DD1990"/>
    <w:rsid w:val="00DD1C7A"/>
    <w:rsid w:val="00DD1FAB"/>
    <w:rsid w:val="00DD291E"/>
    <w:rsid w:val="00DD3BCE"/>
    <w:rsid w:val="00DD5079"/>
    <w:rsid w:val="00DD50E2"/>
    <w:rsid w:val="00DD544C"/>
    <w:rsid w:val="00DD7029"/>
    <w:rsid w:val="00DE0629"/>
    <w:rsid w:val="00DE211D"/>
    <w:rsid w:val="00DE2B80"/>
    <w:rsid w:val="00DE58E0"/>
    <w:rsid w:val="00DE5B90"/>
    <w:rsid w:val="00DF037B"/>
    <w:rsid w:val="00DF1B19"/>
    <w:rsid w:val="00DF1F1E"/>
    <w:rsid w:val="00DF3102"/>
    <w:rsid w:val="00DF449D"/>
    <w:rsid w:val="00DF60DF"/>
    <w:rsid w:val="00DF655B"/>
    <w:rsid w:val="00DF7A59"/>
    <w:rsid w:val="00DF7D7B"/>
    <w:rsid w:val="00DF7F1D"/>
    <w:rsid w:val="00E00DBF"/>
    <w:rsid w:val="00E02921"/>
    <w:rsid w:val="00E031DA"/>
    <w:rsid w:val="00E037FE"/>
    <w:rsid w:val="00E0475C"/>
    <w:rsid w:val="00E0520F"/>
    <w:rsid w:val="00E057F5"/>
    <w:rsid w:val="00E05FD4"/>
    <w:rsid w:val="00E07034"/>
    <w:rsid w:val="00E0777D"/>
    <w:rsid w:val="00E108F9"/>
    <w:rsid w:val="00E12CE3"/>
    <w:rsid w:val="00E161E2"/>
    <w:rsid w:val="00E1627E"/>
    <w:rsid w:val="00E175AE"/>
    <w:rsid w:val="00E17B90"/>
    <w:rsid w:val="00E20443"/>
    <w:rsid w:val="00E20D89"/>
    <w:rsid w:val="00E21906"/>
    <w:rsid w:val="00E23D92"/>
    <w:rsid w:val="00E252FC"/>
    <w:rsid w:val="00E25D1B"/>
    <w:rsid w:val="00E301BD"/>
    <w:rsid w:val="00E309CB"/>
    <w:rsid w:val="00E30DA8"/>
    <w:rsid w:val="00E31A9A"/>
    <w:rsid w:val="00E320C6"/>
    <w:rsid w:val="00E32A1C"/>
    <w:rsid w:val="00E33F1E"/>
    <w:rsid w:val="00E34EEC"/>
    <w:rsid w:val="00E34F87"/>
    <w:rsid w:val="00E34FE5"/>
    <w:rsid w:val="00E35295"/>
    <w:rsid w:val="00E35939"/>
    <w:rsid w:val="00E425D6"/>
    <w:rsid w:val="00E44CC4"/>
    <w:rsid w:val="00E450DE"/>
    <w:rsid w:val="00E453D5"/>
    <w:rsid w:val="00E4553C"/>
    <w:rsid w:val="00E45BDC"/>
    <w:rsid w:val="00E46F79"/>
    <w:rsid w:val="00E478CC"/>
    <w:rsid w:val="00E507FD"/>
    <w:rsid w:val="00E52453"/>
    <w:rsid w:val="00E524C0"/>
    <w:rsid w:val="00E538A9"/>
    <w:rsid w:val="00E54DF7"/>
    <w:rsid w:val="00E61224"/>
    <w:rsid w:val="00E62830"/>
    <w:rsid w:val="00E63ABF"/>
    <w:rsid w:val="00E63DFB"/>
    <w:rsid w:val="00E64A93"/>
    <w:rsid w:val="00E6592C"/>
    <w:rsid w:val="00E67944"/>
    <w:rsid w:val="00E70164"/>
    <w:rsid w:val="00E70F36"/>
    <w:rsid w:val="00E72FE9"/>
    <w:rsid w:val="00E73440"/>
    <w:rsid w:val="00E7393F"/>
    <w:rsid w:val="00E74FBA"/>
    <w:rsid w:val="00E760B2"/>
    <w:rsid w:val="00E77B9E"/>
    <w:rsid w:val="00E81239"/>
    <w:rsid w:val="00E8211A"/>
    <w:rsid w:val="00E8220B"/>
    <w:rsid w:val="00E824A9"/>
    <w:rsid w:val="00E82745"/>
    <w:rsid w:val="00E829FC"/>
    <w:rsid w:val="00E82B94"/>
    <w:rsid w:val="00E85DB0"/>
    <w:rsid w:val="00E85F56"/>
    <w:rsid w:val="00E86172"/>
    <w:rsid w:val="00E87D4F"/>
    <w:rsid w:val="00E91086"/>
    <w:rsid w:val="00E91236"/>
    <w:rsid w:val="00E92FDB"/>
    <w:rsid w:val="00E9510C"/>
    <w:rsid w:val="00E96157"/>
    <w:rsid w:val="00E96B1D"/>
    <w:rsid w:val="00E978D8"/>
    <w:rsid w:val="00E97943"/>
    <w:rsid w:val="00EA0E7C"/>
    <w:rsid w:val="00EA238D"/>
    <w:rsid w:val="00EA294C"/>
    <w:rsid w:val="00EA29AA"/>
    <w:rsid w:val="00EA322F"/>
    <w:rsid w:val="00EA53BE"/>
    <w:rsid w:val="00EA73C9"/>
    <w:rsid w:val="00EA77C7"/>
    <w:rsid w:val="00EB0625"/>
    <w:rsid w:val="00EB116B"/>
    <w:rsid w:val="00EB3A0F"/>
    <w:rsid w:val="00EB464E"/>
    <w:rsid w:val="00EB6020"/>
    <w:rsid w:val="00EB656F"/>
    <w:rsid w:val="00EB6CBF"/>
    <w:rsid w:val="00EB7E67"/>
    <w:rsid w:val="00EB7E98"/>
    <w:rsid w:val="00EC0582"/>
    <w:rsid w:val="00EC07E0"/>
    <w:rsid w:val="00EC1734"/>
    <w:rsid w:val="00EC3E9D"/>
    <w:rsid w:val="00EC48F8"/>
    <w:rsid w:val="00EC7114"/>
    <w:rsid w:val="00ED0C0A"/>
    <w:rsid w:val="00ED289A"/>
    <w:rsid w:val="00ED2D9E"/>
    <w:rsid w:val="00ED33DB"/>
    <w:rsid w:val="00ED5B04"/>
    <w:rsid w:val="00ED7D29"/>
    <w:rsid w:val="00ED7F45"/>
    <w:rsid w:val="00EE135A"/>
    <w:rsid w:val="00EE2839"/>
    <w:rsid w:val="00EE2B10"/>
    <w:rsid w:val="00EE37A9"/>
    <w:rsid w:val="00EF3A51"/>
    <w:rsid w:val="00EF480F"/>
    <w:rsid w:val="00EF5936"/>
    <w:rsid w:val="00EF5A29"/>
    <w:rsid w:val="00EF5C82"/>
    <w:rsid w:val="00EF618D"/>
    <w:rsid w:val="00EF692D"/>
    <w:rsid w:val="00EF6DE8"/>
    <w:rsid w:val="00F03602"/>
    <w:rsid w:val="00F048D3"/>
    <w:rsid w:val="00F060BC"/>
    <w:rsid w:val="00F061A4"/>
    <w:rsid w:val="00F0778C"/>
    <w:rsid w:val="00F11660"/>
    <w:rsid w:val="00F120FD"/>
    <w:rsid w:val="00F13645"/>
    <w:rsid w:val="00F1379F"/>
    <w:rsid w:val="00F16C40"/>
    <w:rsid w:val="00F20170"/>
    <w:rsid w:val="00F2134C"/>
    <w:rsid w:val="00F21859"/>
    <w:rsid w:val="00F23F63"/>
    <w:rsid w:val="00F2425B"/>
    <w:rsid w:val="00F24697"/>
    <w:rsid w:val="00F2629D"/>
    <w:rsid w:val="00F26771"/>
    <w:rsid w:val="00F2755D"/>
    <w:rsid w:val="00F30F6A"/>
    <w:rsid w:val="00F310ED"/>
    <w:rsid w:val="00F35B08"/>
    <w:rsid w:val="00F35EC0"/>
    <w:rsid w:val="00F37023"/>
    <w:rsid w:val="00F42AA2"/>
    <w:rsid w:val="00F42E3F"/>
    <w:rsid w:val="00F431BB"/>
    <w:rsid w:val="00F4320B"/>
    <w:rsid w:val="00F43515"/>
    <w:rsid w:val="00F436F1"/>
    <w:rsid w:val="00F43CFE"/>
    <w:rsid w:val="00F4439F"/>
    <w:rsid w:val="00F45178"/>
    <w:rsid w:val="00F46FA8"/>
    <w:rsid w:val="00F475C2"/>
    <w:rsid w:val="00F47A22"/>
    <w:rsid w:val="00F50D48"/>
    <w:rsid w:val="00F51648"/>
    <w:rsid w:val="00F52900"/>
    <w:rsid w:val="00F558FA"/>
    <w:rsid w:val="00F57058"/>
    <w:rsid w:val="00F61289"/>
    <w:rsid w:val="00F6190F"/>
    <w:rsid w:val="00F62B2C"/>
    <w:rsid w:val="00F62C12"/>
    <w:rsid w:val="00F64D50"/>
    <w:rsid w:val="00F663E7"/>
    <w:rsid w:val="00F665CC"/>
    <w:rsid w:val="00F66C2C"/>
    <w:rsid w:val="00F67ED7"/>
    <w:rsid w:val="00F70B34"/>
    <w:rsid w:val="00F711CA"/>
    <w:rsid w:val="00F71B20"/>
    <w:rsid w:val="00F71F10"/>
    <w:rsid w:val="00F729D8"/>
    <w:rsid w:val="00F73B48"/>
    <w:rsid w:val="00F74476"/>
    <w:rsid w:val="00F74B1B"/>
    <w:rsid w:val="00F75013"/>
    <w:rsid w:val="00F806B1"/>
    <w:rsid w:val="00F8131B"/>
    <w:rsid w:val="00F83B9A"/>
    <w:rsid w:val="00F83FAB"/>
    <w:rsid w:val="00F85314"/>
    <w:rsid w:val="00F864B1"/>
    <w:rsid w:val="00F87609"/>
    <w:rsid w:val="00F909B9"/>
    <w:rsid w:val="00F92DBB"/>
    <w:rsid w:val="00F93AFE"/>
    <w:rsid w:val="00F9535F"/>
    <w:rsid w:val="00F960F8"/>
    <w:rsid w:val="00F96627"/>
    <w:rsid w:val="00F97070"/>
    <w:rsid w:val="00FA02E7"/>
    <w:rsid w:val="00FA2AE4"/>
    <w:rsid w:val="00FA49A9"/>
    <w:rsid w:val="00FA4D7D"/>
    <w:rsid w:val="00FA4E46"/>
    <w:rsid w:val="00FA4F26"/>
    <w:rsid w:val="00FA66DF"/>
    <w:rsid w:val="00FB0BA7"/>
    <w:rsid w:val="00FB115A"/>
    <w:rsid w:val="00FB2289"/>
    <w:rsid w:val="00FB3E96"/>
    <w:rsid w:val="00FB40DF"/>
    <w:rsid w:val="00FB6088"/>
    <w:rsid w:val="00FC1912"/>
    <w:rsid w:val="00FC3686"/>
    <w:rsid w:val="00FC46E0"/>
    <w:rsid w:val="00FC6E65"/>
    <w:rsid w:val="00FC7EEE"/>
    <w:rsid w:val="00FD072C"/>
    <w:rsid w:val="00FD1228"/>
    <w:rsid w:val="00FD1942"/>
    <w:rsid w:val="00FD2159"/>
    <w:rsid w:val="00FD2995"/>
    <w:rsid w:val="00FD4693"/>
    <w:rsid w:val="00FD4756"/>
    <w:rsid w:val="00FD4F95"/>
    <w:rsid w:val="00FD52CE"/>
    <w:rsid w:val="00FD6924"/>
    <w:rsid w:val="00FD7C31"/>
    <w:rsid w:val="00FE052C"/>
    <w:rsid w:val="00FE06C1"/>
    <w:rsid w:val="00FE37A4"/>
    <w:rsid w:val="00FE3EB1"/>
    <w:rsid w:val="00FE466D"/>
    <w:rsid w:val="00FE71FD"/>
    <w:rsid w:val="00FE795C"/>
    <w:rsid w:val="00FE7F07"/>
    <w:rsid w:val="00FF023B"/>
    <w:rsid w:val="00FF18AC"/>
    <w:rsid w:val="00FF28CE"/>
    <w:rsid w:val="00FF3100"/>
    <w:rsid w:val="00FF3CC5"/>
    <w:rsid w:val="00FF4BD4"/>
    <w:rsid w:val="00FF4EE3"/>
    <w:rsid w:val="00FF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36714"/>
  <w15:chartTrackingRefBased/>
  <w15:docId w15:val="{69362C20-BD40-DB4A-A287-E8B01855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36"/>
    <w:rPr>
      <w:rFonts w:ascii="Times New Roman" w:hAnsi="Times New Roman"/>
      <w:sz w:val="24"/>
      <w:szCs w:val="24"/>
    </w:rPr>
  </w:style>
  <w:style w:type="paragraph" w:styleId="Heading1">
    <w:name w:val="heading 1"/>
    <w:basedOn w:val="Normal"/>
    <w:next w:val="Normal"/>
    <w:link w:val="Heading1Char"/>
    <w:qFormat/>
    <w:rsid w:val="00E301BD"/>
    <w:pPr>
      <w:keepNext/>
      <w:keepLines/>
      <w:pageBreakBefore/>
      <w:numPr>
        <w:numId w:val="13"/>
      </w:numPr>
      <w:outlineLvl w:val="0"/>
    </w:pPr>
    <w:rPr>
      <w:b/>
      <w:caps/>
      <w:sz w:val="28"/>
      <w:szCs w:val="20"/>
    </w:rPr>
  </w:style>
  <w:style w:type="paragraph" w:styleId="Heading2">
    <w:name w:val="heading 2"/>
    <w:basedOn w:val="Normal"/>
    <w:next w:val="Normal"/>
    <w:link w:val="Heading2Char"/>
    <w:qFormat/>
    <w:rsid w:val="00E301BD"/>
    <w:pPr>
      <w:keepNext/>
      <w:keepLines/>
      <w:numPr>
        <w:ilvl w:val="1"/>
        <w:numId w:val="13"/>
      </w:numPr>
      <w:spacing w:before="240"/>
      <w:outlineLvl w:val="1"/>
    </w:pPr>
    <w:rPr>
      <w:b/>
      <w:caps/>
      <w:szCs w:val="20"/>
    </w:rPr>
  </w:style>
  <w:style w:type="paragraph" w:styleId="Heading3">
    <w:name w:val="heading 3"/>
    <w:basedOn w:val="Normal"/>
    <w:next w:val="Normal"/>
    <w:link w:val="Heading3Char"/>
    <w:qFormat/>
    <w:rsid w:val="00E301BD"/>
    <w:pPr>
      <w:keepNext/>
      <w:keepLines/>
      <w:numPr>
        <w:ilvl w:val="2"/>
        <w:numId w:val="13"/>
      </w:numPr>
      <w:spacing w:before="240"/>
      <w:outlineLvl w:val="2"/>
    </w:pPr>
    <w:rPr>
      <w:b/>
      <w:caps/>
      <w:szCs w:val="20"/>
    </w:rPr>
  </w:style>
  <w:style w:type="paragraph" w:styleId="Heading4">
    <w:name w:val="heading 4"/>
    <w:basedOn w:val="Normal"/>
    <w:next w:val="Normal"/>
    <w:link w:val="Heading4Char"/>
    <w:qFormat/>
    <w:rsid w:val="00F83FAB"/>
    <w:pPr>
      <w:keepNext/>
      <w:keepLines/>
      <w:numPr>
        <w:ilvl w:val="3"/>
        <w:numId w:val="13"/>
      </w:numPr>
      <w:tabs>
        <w:tab w:val="clear" w:pos="1987"/>
      </w:tabs>
      <w:spacing w:before="240"/>
      <w:ind w:left="0"/>
      <w:outlineLvl w:val="3"/>
    </w:pPr>
    <w:rPr>
      <w:b/>
      <w:szCs w:val="20"/>
    </w:rPr>
  </w:style>
  <w:style w:type="paragraph" w:styleId="Heading5">
    <w:name w:val="heading 5"/>
    <w:basedOn w:val="Normal"/>
    <w:next w:val="Normal"/>
    <w:link w:val="Heading5Char"/>
    <w:qFormat/>
    <w:rsid w:val="00E301BD"/>
    <w:pPr>
      <w:keepNext/>
      <w:keepLines/>
      <w:numPr>
        <w:ilvl w:val="4"/>
        <w:numId w:val="13"/>
      </w:numPr>
      <w:spacing w:before="240"/>
      <w:outlineLvl w:val="4"/>
    </w:pPr>
    <w:rPr>
      <w:b/>
      <w:szCs w:val="20"/>
    </w:rPr>
  </w:style>
  <w:style w:type="paragraph" w:styleId="Heading6">
    <w:name w:val="heading 6"/>
    <w:basedOn w:val="Normal"/>
    <w:next w:val="Normal"/>
    <w:link w:val="Heading6Char"/>
    <w:qFormat/>
    <w:rsid w:val="00E301BD"/>
    <w:pPr>
      <w:keepNext/>
      <w:keepLines/>
      <w:numPr>
        <w:ilvl w:val="5"/>
        <w:numId w:val="13"/>
      </w:numPr>
      <w:spacing w:before="240"/>
      <w:outlineLvl w:val="5"/>
    </w:pPr>
    <w:rPr>
      <w:b/>
      <w:bCs/>
      <w:szCs w:val="20"/>
    </w:rPr>
  </w:style>
  <w:style w:type="paragraph" w:styleId="Heading7">
    <w:name w:val="heading 7"/>
    <w:basedOn w:val="Normal"/>
    <w:next w:val="Normal"/>
    <w:link w:val="Heading7Char"/>
    <w:qFormat/>
    <w:rsid w:val="00E301BD"/>
    <w:pPr>
      <w:keepNext/>
      <w:keepLines/>
      <w:numPr>
        <w:ilvl w:val="6"/>
        <w:numId w:val="13"/>
      </w:numPr>
      <w:spacing w:before="240"/>
      <w:outlineLvl w:val="6"/>
    </w:pPr>
    <w:rPr>
      <w:b/>
    </w:rPr>
  </w:style>
  <w:style w:type="paragraph" w:styleId="Heading8">
    <w:name w:val="heading 8"/>
    <w:aliases w:val="Annex Heading 1"/>
    <w:basedOn w:val="Normal"/>
    <w:next w:val="Normal"/>
    <w:link w:val="Heading8Char"/>
    <w:qFormat/>
    <w:rsid w:val="002C7203"/>
    <w:pPr>
      <w:pageBreakBefore/>
      <w:numPr>
        <w:numId w:val="2"/>
      </w:numPr>
      <w:jc w:val="center"/>
      <w:outlineLvl w:val="7"/>
    </w:pPr>
    <w:rPr>
      <w:b/>
      <w:iCs/>
      <w:caps/>
      <w:sz w:val="28"/>
    </w:rPr>
  </w:style>
  <w:style w:type="paragraph" w:styleId="Heading9">
    <w:name w:val="heading 9"/>
    <w:aliases w:val="Index Heading 1"/>
    <w:basedOn w:val="Normal"/>
    <w:next w:val="Normal"/>
    <w:link w:val="Heading9Char"/>
    <w:qFormat/>
    <w:rsid w:val="00E301BD"/>
    <w:pPr>
      <w:keepNext/>
      <w:pageBreakBefore/>
      <w:numPr>
        <w:ilvl w:val="8"/>
        <w:numId w:val="13"/>
      </w:numPr>
      <w:jc w:val="center"/>
      <w:outlineLvl w:val="8"/>
    </w:pPr>
    <w:rPr>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link w:val="Heading8"/>
    <w:rsid w:val="002C7203"/>
    <w:rPr>
      <w:rFonts w:ascii="Times New Roman" w:hAnsi="Times New Roman"/>
      <w:b/>
      <w:iCs/>
      <w:caps/>
      <w:sz w:val="28"/>
      <w:szCs w:val="24"/>
    </w:rPr>
  </w:style>
  <w:style w:type="character" w:customStyle="1" w:styleId="Heading1Char">
    <w:name w:val="Heading 1 Char"/>
    <w:link w:val="Heading1"/>
    <w:rsid w:val="00E301BD"/>
    <w:rPr>
      <w:rFonts w:ascii="Times New Roman" w:hAnsi="Times New Roman"/>
      <w:b/>
      <w:caps/>
      <w:sz w:val="28"/>
    </w:rPr>
  </w:style>
  <w:style w:type="character" w:customStyle="1" w:styleId="Heading2Char">
    <w:name w:val="Heading 2 Char"/>
    <w:link w:val="Heading2"/>
    <w:rsid w:val="00E301BD"/>
    <w:rPr>
      <w:rFonts w:ascii="Times New Roman" w:hAnsi="Times New Roman"/>
      <w:b/>
      <w:caps/>
      <w:sz w:val="24"/>
    </w:rPr>
  </w:style>
  <w:style w:type="character" w:customStyle="1" w:styleId="Heading3Char">
    <w:name w:val="Heading 3 Char"/>
    <w:link w:val="Heading3"/>
    <w:rsid w:val="00E301BD"/>
    <w:rPr>
      <w:rFonts w:ascii="Times New Roman" w:hAnsi="Times New Roman"/>
      <w:b/>
      <w:caps/>
      <w:sz w:val="24"/>
    </w:rPr>
  </w:style>
  <w:style w:type="character" w:customStyle="1" w:styleId="Heading4Char">
    <w:name w:val="Heading 4 Char"/>
    <w:link w:val="Heading4"/>
    <w:rsid w:val="00F83FAB"/>
    <w:rPr>
      <w:rFonts w:ascii="Times New Roman" w:hAnsi="Times New Roman"/>
      <w:b/>
      <w:sz w:val="24"/>
    </w:rPr>
  </w:style>
  <w:style w:type="character" w:customStyle="1" w:styleId="Heading5Char">
    <w:name w:val="Heading 5 Char"/>
    <w:link w:val="Heading5"/>
    <w:rsid w:val="00E301BD"/>
    <w:rPr>
      <w:rFonts w:ascii="Times New Roman" w:hAnsi="Times New Roman"/>
      <w:b/>
      <w:sz w:val="24"/>
    </w:rPr>
  </w:style>
  <w:style w:type="character" w:customStyle="1" w:styleId="Heading6Char">
    <w:name w:val="Heading 6 Char"/>
    <w:link w:val="Heading6"/>
    <w:rsid w:val="00E301BD"/>
    <w:rPr>
      <w:rFonts w:ascii="Times New Roman" w:hAnsi="Times New Roman"/>
      <w:b/>
      <w:bCs/>
      <w:sz w:val="24"/>
    </w:rPr>
  </w:style>
  <w:style w:type="character" w:customStyle="1" w:styleId="Heading7Char">
    <w:name w:val="Heading 7 Char"/>
    <w:link w:val="Heading7"/>
    <w:rsid w:val="00E301BD"/>
    <w:rPr>
      <w:rFonts w:ascii="Times New Roman" w:hAnsi="Times New Roman"/>
      <w:b/>
      <w:sz w:val="24"/>
      <w:szCs w:val="24"/>
    </w:rPr>
  </w:style>
  <w:style w:type="character" w:customStyle="1" w:styleId="Heading9Char">
    <w:name w:val="Heading 9 Char"/>
    <w:aliases w:val="Index Heading 1 Char"/>
    <w:link w:val="Heading9"/>
    <w:rsid w:val="00E301BD"/>
    <w:rPr>
      <w:rFonts w:ascii="Times New Roman" w:hAnsi="Times New Roman"/>
      <w:b/>
      <w:sz w:val="28"/>
    </w:rPr>
  </w:style>
  <w:style w:type="paragraph" w:styleId="List">
    <w:name w:val="List"/>
    <w:basedOn w:val="Normal"/>
    <w:link w:val="ListChar"/>
    <w:unhideWhenUsed/>
    <w:rsid w:val="00E301BD"/>
    <w:pPr>
      <w:spacing w:before="180"/>
      <w:ind w:left="720" w:hanging="360"/>
      <w:jc w:val="both"/>
    </w:pPr>
    <w:rPr>
      <w:szCs w:val="20"/>
    </w:rPr>
  </w:style>
  <w:style w:type="paragraph" w:styleId="List2">
    <w:name w:val="List 2"/>
    <w:basedOn w:val="Normal"/>
    <w:unhideWhenUsed/>
    <w:rsid w:val="00E301BD"/>
    <w:pPr>
      <w:spacing w:before="180" w:line="280" w:lineRule="atLeast"/>
      <w:ind w:left="1080" w:hanging="360"/>
      <w:jc w:val="both"/>
    </w:pPr>
    <w:rPr>
      <w:szCs w:val="20"/>
    </w:rPr>
  </w:style>
  <w:style w:type="paragraph" w:styleId="List3">
    <w:name w:val="List 3"/>
    <w:basedOn w:val="Normal"/>
    <w:semiHidden/>
    <w:unhideWhenUsed/>
    <w:rsid w:val="00E301BD"/>
    <w:pPr>
      <w:spacing w:before="180" w:line="280" w:lineRule="atLeast"/>
      <w:ind w:left="1440" w:hanging="360"/>
      <w:jc w:val="both"/>
    </w:pPr>
    <w:rPr>
      <w:szCs w:val="20"/>
    </w:rPr>
  </w:style>
  <w:style w:type="paragraph" w:styleId="List4">
    <w:name w:val="List 4"/>
    <w:basedOn w:val="Normal"/>
    <w:semiHidden/>
    <w:unhideWhenUsed/>
    <w:rsid w:val="00E301BD"/>
    <w:pPr>
      <w:spacing w:before="180" w:line="280" w:lineRule="atLeast"/>
      <w:ind w:left="1800" w:hanging="360"/>
      <w:jc w:val="both"/>
    </w:pPr>
    <w:rPr>
      <w:szCs w:val="20"/>
    </w:rPr>
  </w:style>
  <w:style w:type="paragraph" w:styleId="List5">
    <w:name w:val="List 5"/>
    <w:basedOn w:val="Normal"/>
    <w:semiHidden/>
    <w:unhideWhenUsed/>
    <w:rsid w:val="00E301BD"/>
    <w:pPr>
      <w:spacing w:before="180" w:line="280" w:lineRule="atLeast"/>
      <w:ind w:left="2160" w:hanging="360"/>
      <w:jc w:val="both"/>
    </w:pPr>
    <w:rPr>
      <w:szCs w:val="20"/>
    </w:rPr>
  </w:style>
  <w:style w:type="paragraph" w:styleId="TOC1">
    <w:name w:val="toc 1"/>
    <w:basedOn w:val="Normal"/>
    <w:next w:val="Normal"/>
    <w:uiPriority w:val="39"/>
    <w:unhideWhenUsed/>
    <w:rsid w:val="00E301BD"/>
    <w:pPr>
      <w:tabs>
        <w:tab w:val="right" w:leader="dot" w:pos="9000"/>
      </w:tabs>
      <w:suppressAutoHyphens/>
      <w:spacing w:line="280" w:lineRule="atLeast"/>
      <w:ind w:left="360" w:hanging="360"/>
    </w:pPr>
    <w:rPr>
      <w:b/>
      <w:caps/>
      <w:szCs w:val="20"/>
    </w:rPr>
  </w:style>
  <w:style w:type="paragraph" w:styleId="TOC2">
    <w:name w:val="toc 2"/>
    <w:basedOn w:val="Normal"/>
    <w:next w:val="Normal"/>
    <w:autoRedefine/>
    <w:uiPriority w:val="39"/>
    <w:unhideWhenUsed/>
    <w:rsid w:val="00E301BD"/>
    <w:pPr>
      <w:tabs>
        <w:tab w:val="right" w:leader="dot" w:pos="9000"/>
      </w:tabs>
      <w:ind w:left="907" w:hanging="547"/>
    </w:pPr>
    <w:rPr>
      <w:caps/>
      <w:szCs w:val="20"/>
    </w:rPr>
  </w:style>
  <w:style w:type="paragraph" w:styleId="TOC3">
    <w:name w:val="toc 3"/>
    <w:basedOn w:val="Normal"/>
    <w:next w:val="Normal"/>
    <w:autoRedefine/>
    <w:uiPriority w:val="39"/>
    <w:unhideWhenUsed/>
    <w:rsid w:val="00E301BD"/>
    <w:pPr>
      <w:tabs>
        <w:tab w:val="right" w:leader="dot" w:pos="9000"/>
      </w:tabs>
      <w:spacing w:line="280" w:lineRule="atLeast"/>
      <w:ind w:left="1627" w:hanging="720"/>
    </w:pPr>
    <w:rPr>
      <w:caps/>
      <w:szCs w:val="20"/>
    </w:rPr>
  </w:style>
  <w:style w:type="paragraph" w:styleId="TOC8">
    <w:name w:val="toc 8"/>
    <w:basedOn w:val="Normal"/>
    <w:next w:val="Normal"/>
    <w:autoRedefine/>
    <w:uiPriority w:val="39"/>
    <w:unhideWhenUsed/>
    <w:rsid w:val="00E301BD"/>
    <w:pPr>
      <w:tabs>
        <w:tab w:val="right" w:leader="dot" w:pos="9000"/>
      </w:tabs>
      <w:ind w:left="1267" w:hanging="1267"/>
    </w:pPr>
    <w:rPr>
      <w:b/>
      <w:caps/>
      <w:szCs w:val="20"/>
    </w:rPr>
  </w:style>
  <w:style w:type="paragraph" w:styleId="TOC9">
    <w:name w:val="toc 9"/>
    <w:basedOn w:val="Normal"/>
    <w:next w:val="Normal"/>
    <w:autoRedefine/>
    <w:semiHidden/>
    <w:unhideWhenUsed/>
    <w:rsid w:val="00E301BD"/>
    <w:pPr>
      <w:spacing w:before="240" w:line="280" w:lineRule="atLeast"/>
      <w:ind w:left="1920"/>
      <w:jc w:val="both"/>
    </w:pPr>
    <w:rPr>
      <w:szCs w:val="20"/>
    </w:rPr>
  </w:style>
  <w:style w:type="paragraph" w:customStyle="1" w:styleId="CenteredHeading">
    <w:name w:val="Centered Heading"/>
    <w:basedOn w:val="Normal"/>
    <w:next w:val="Normal"/>
    <w:link w:val="CenteredHeadingChar"/>
    <w:rsid w:val="00E301BD"/>
    <w:pPr>
      <w:pageBreakBefore/>
      <w:jc w:val="center"/>
    </w:pPr>
    <w:rPr>
      <w:b/>
      <w:caps/>
      <w:sz w:val="28"/>
      <w:szCs w:val="20"/>
    </w:rPr>
  </w:style>
  <w:style w:type="character" w:customStyle="1" w:styleId="CenteredHeadingChar">
    <w:name w:val="Centered Heading Char"/>
    <w:link w:val="CenteredHeading"/>
    <w:rsid w:val="00E301BD"/>
    <w:rPr>
      <w:rFonts w:ascii="Times New Roman" w:hAnsi="Times New Roman"/>
      <w:b/>
      <w:caps/>
      <w:sz w:val="28"/>
    </w:rPr>
  </w:style>
  <w:style w:type="paragraph" w:customStyle="1" w:styleId="toccolumnheadings">
    <w:name w:val="toc column headings"/>
    <w:basedOn w:val="Normal"/>
    <w:next w:val="Normal"/>
    <w:link w:val="toccolumnheadingsChar"/>
    <w:rsid w:val="00E301BD"/>
    <w:pPr>
      <w:keepNext/>
      <w:tabs>
        <w:tab w:val="right" w:pos="9000"/>
      </w:tabs>
      <w:spacing w:before="240" w:after="240"/>
    </w:pPr>
    <w:rPr>
      <w:szCs w:val="20"/>
      <w:u w:val="words"/>
    </w:rPr>
  </w:style>
  <w:style w:type="character" w:customStyle="1" w:styleId="toccolumnheadingsChar">
    <w:name w:val="toc column headings Char"/>
    <w:link w:val="toccolumnheadings"/>
    <w:rsid w:val="00E301BD"/>
    <w:rPr>
      <w:rFonts w:ascii="Times New Roman" w:hAnsi="Times New Roman"/>
      <w:sz w:val="24"/>
      <w:u w:val="words"/>
    </w:rPr>
  </w:style>
  <w:style w:type="paragraph" w:customStyle="1" w:styleId="TOCF">
    <w:name w:val="TOC F"/>
    <w:basedOn w:val="TOC1"/>
    <w:link w:val="TOCFChar"/>
    <w:rsid w:val="00E301BD"/>
    <w:pPr>
      <w:suppressAutoHyphens w:val="0"/>
      <w:ind w:left="547" w:hanging="547"/>
    </w:pPr>
    <w:rPr>
      <w:b w:val="0"/>
      <w:caps w:val="0"/>
    </w:rPr>
  </w:style>
  <w:style w:type="character" w:customStyle="1" w:styleId="TOCFChar">
    <w:name w:val="TOC F Char"/>
    <w:link w:val="TOCF"/>
    <w:rsid w:val="00E301BD"/>
    <w:rPr>
      <w:rFonts w:ascii="Times New Roman" w:hAnsi="Times New Roman"/>
      <w:sz w:val="24"/>
    </w:rPr>
  </w:style>
  <w:style w:type="paragraph" w:customStyle="1" w:styleId="References">
    <w:name w:val="References"/>
    <w:basedOn w:val="Normal"/>
    <w:link w:val="ReferencesChar"/>
    <w:rsid w:val="00E301BD"/>
    <w:pPr>
      <w:keepLines/>
      <w:spacing w:before="240" w:line="280" w:lineRule="atLeast"/>
      <w:ind w:left="547" w:hanging="547"/>
      <w:jc w:val="both"/>
    </w:pPr>
    <w:rPr>
      <w:szCs w:val="20"/>
    </w:rPr>
  </w:style>
  <w:style w:type="character" w:customStyle="1" w:styleId="ReferencesChar">
    <w:name w:val="References Char"/>
    <w:link w:val="References"/>
    <w:rsid w:val="00E301BD"/>
    <w:rPr>
      <w:rFonts w:ascii="Times New Roman" w:hAnsi="Times New Roman"/>
      <w:sz w:val="24"/>
    </w:rPr>
  </w:style>
  <w:style w:type="paragraph" w:styleId="Header">
    <w:name w:val="header"/>
    <w:basedOn w:val="Normal"/>
    <w:link w:val="HeaderChar"/>
    <w:unhideWhenUsed/>
    <w:rsid w:val="00E301BD"/>
    <w:pPr>
      <w:jc w:val="center"/>
    </w:pPr>
    <w:rPr>
      <w:sz w:val="22"/>
      <w:szCs w:val="20"/>
    </w:rPr>
  </w:style>
  <w:style w:type="character" w:customStyle="1" w:styleId="HeaderChar">
    <w:name w:val="Header Char"/>
    <w:link w:val="Header"/>
    <w:rsid w:val="00E301BD"/>
    <w:rPr>
      <w:rFonts w:ascii="Times New Roman" w:hAnsi="Times New Roman"/>
      <w:sz w:val="22"/>
    </w:rPr>
  </w:style>
  <w:style w:type="paragraph" w:styleId="Footer">
    <w:name w:val="footer"/>
    <w:basedOn w:val="Normal"/>
    <w:link w:val="FooterChar"/>
    <w:unhideWhenUsed/>
    <w:rsid w:val="00E301BD"/>
    <w:pPr>
      <w:tabs>
        <w:tab w:val="center" w:pos="4507"/>
        <w:tab w:val="right" w:pos="9000"/>
      </w:tabs>
    </w:pPr>
    <w:rPr>
      <w:sz w:val="22"/>
      <w:szCs w:val="20"/>
    </w:rPr>
  </w:style>
  <w:style w:type="character" w:customStyle="1" w:styleId="FooterChar">
    <w:name w:val="Footer Char"/>
    <w:link w:val="Footer"/>
    <w:rsid w:val="00E301BD"/>
    <w:rPr>
      <w:rFonts w:ascii="Times New Roman" w:hAnsi="Times New Roman"/>
      <w:sz w:val="22"/>
    </w:rPr>
  </w:style>
  <w:style w:type="paragraph" w:customStyle="1" w:styleId="Paragraph2">
    <w:name w:val="Paragraph 2"/>
    <w:basedOn w:val="Heading2"/>
    <w:link w:val="Paragraph2Char"/>
    <w:rsid w:val="00E301BD"/>
    <w:pPr>
      <w:keepNext w:val="0"/>
      <w:keepLines w:val="0"/>
      <w:tabs>
        <w:tab w:val="clear" w:pos="576"/>
        <w:tab w:val="left" w:pos="547"/>
      </w:tabs>
      <w:spacing w:line="280" w:lineRule="atLeast"/>
      <w:jc w:val="both"/>
      <w:outlineLvl w:val="9"/>
    </w:pPr>
    <w:rPr>
      <w:b w:val="0"/>
      <w:caps w:val="0"/>
    </w:rPr>
  </w:style>
  <w:style w:type="character" w:customStyle="1" w:styleId="Paragraph2Char">
    <w:name w:val="Paragraph 2 Char"/>
    <w:link w:val="Paragraph2"/>
    <w:rsid w:val="00E301BD"/>
    <w:rPr>
      <w:rFonts w:ascii="Times New Roman" w:hAnsi="Times New Roman"/>
      <w:sz w:val="24"/>
    </w:rPr>
  </w:style>
  <w:style w:type="paragraph" w:customStyle="1" w:styleId="Paragraph3">
    <w:name w:val="Paragraph 3"/>
    <w:basedOn w:val="Heading3"/>
    <w:link w:val="Paragraph3Char"/>
    <w:rsid w:val="00E301BD"/>
    <w:pPr>
      <w:keepNext w:val="0"/>
      <w:keepLines w:val="0"/>
      <w:tabs>
        <w:tab w:val="left" w:pos="720"/>
      </w:tabs>
      <w:spacing w:line="280" w:lineRule="atLeast"/>
      <w:jc w:val="both"/>
      <w:outlineLvl w:val="9"/>
    </w:pPr>
    <w:rPr>
      <w:b w:val="0"/>
      <w:caps w:val="0"/>
    </w:rPr>
  </w:style>
  <w:style w:type="character" w:customStyle="1" w:styleId="Paragraph3Char">
    <w:name w:val="Paragraph 3 Char"/>
    <w:link w:val="Paragraph3"/>
    <w:rsid w:val="00E301BD"/>
    <w:rPr>
      <w:rFonts w:ascii="Times New Roman" w:hAnsi="Times New Roman"/>
      <w:sz w:val="24"/>
    </w:rPr>
  </w:style>
  <w:style w:type="paragraph" w:customStyle="1" w:styleId="Paragraph4">
    <w:name w:val="Paragraph 4"/>
    <w:basedOn w:val="Heading4"/>
    <w:link w:val="Paragraph4Char"/>
    <w:rsid w:val="00E301BD"/>
    <w:pPr>
      <w:keepNext w:val="0"/>
      <w:keepLines w:val="0"/>
      <w:tabs>
        <w:tab w:val="left" w:pos="907"/>
      </w:tabs>
      <w:spacing w:line="280" w:lineRule="atLeast"/>
      <w:jc w:val="both"/>
      <w:outlineLvl w:val="9"/>
    </w:pPr>
    <w:rPr>
      <w:b w:val="0"/>
    </w:rPr>
  </w:style>
  <w:style w:type="character" w:customStyle="1" w:styleId="Paragraph4Char">
    <w:name w:val="Paragraph 4 Char"/>
    <w:link w:val="Paragraph4"/>
    <w:rsid w:val="00E301BD"/>
    <w:rPr>
      <w:rFonts w:ascii="Times New Roman" w:hAnsi="Times New Roman"/>
      <w:sz w:val="24"/>
    </w:rPr>
  </w:style>
  <w:style w:type="paragraph" w:customStyle="1" w:styleId="Paragraph5">
    <w:name w:val="Paragraph 5"/>
    <w:basedOn w:val="Heading5"/>
    <w:link w:val="Paragraph5Char"/>
    <w:rsid w:val="00E301BD"/>
    <w:pPr>
      <w:keepNext w:val="0"/>
      <w:keepLines w:val="0"/>
      <w:tabs>
        <w:tab w:val="left" w:pos="1080"/>
      </w:tabs>
      <w:spacing w:line="280" w:lineRule="atLeast"/>
      <w:jc w:val="both"/>
      <w:outlineLvl w:val="9"/>
    </w:pPr>
    <w:rPr>
      <w:b w:val="0"/>
    </w:rPr>
  </w:style>
  <w:style w:type="character" w:customStyle="1" w:styleId="Paragraph5Char">
    <w:name w:val="Paragraph 5 Char"/>
    <w:link w:val="Paragraph5"/>
    <w:rsid w:val="00E301BD"/>
    <w:rPr>
      <w:rFonts w:ascii="Times New Roman" w:hAnsi="Times New Roman"/>
      <w:sz w:val="24"/>
    </w:rPr>
  </w:style>
  <w:style w:type="paragraph" w:customStyle="1" w:styleId="Paragraph6">
    <w:name w:val="Paragraph 6"/>
    <w:basedOn w:val="Heading6"/>
    <w:link w:val="Paragraph6Char"/>
    <w:rsid w:val="00E301BD"/>
    <w:pPr>
      <w:keepNext w:val="0"/>
      <w:keepLines w:val="0"/>
      <w:tabs>
        <w:tab w:val="left" w:pos="1267"/>
      </w:tabs>
      <w:spacing w:line="280" w:lineRule="atLeast"/>
      <w:jc w:val="both"/>
      <w:outlineLvl w:val="9"/>
    </w:pPr>
    <w:rPr>
      <w:b w:val="0"/>
    </w:rPr>
  </w:style>
  <w:style w:type="character" w:customStyle="1" w:styleId="Paragraph6Char">
    <w:name w:val="Paragraph 6 Char"/>
    <w:link w:val="Paragraph6"/>
    <w:rsid w:val="00E301BD"/>
    <w:rPr>
      <w:rFonts w:ascii="Times New Roman" w:hAnsi="Times New Roman"/>
      <w:bCs/>
      <w:sz w:val="24"/>
    </w:rPr>
  </w:style>
  <w:style w:type="paragraph" w:customStyle="1" w:styleId="Paragraph7">
    <w:name w:val="Paragraph 7"/>
    <w:basedOn w:val="Heading7"/>
    <w:link w:val="Paragraph7Char"/>
    <w:rsid w:val="00E301BD"/>
    <w:pPr>
      <w:keepNext w:val="0"/>
      <w:keepLines w:val="0"/>
      <w:tabs>
        <w:tab w:val="left" w:pos="1440"/>
      </w:tabs>
      <w:spacing w:line="280" w:lineRule="atLeast"/>
      <w:jc w:val="both"/>
      <w:outlineLvl w:val="9"/>
    </w:pPr>
    <w:rPr>
      <w:b w:val="0"/>
    </w:rPr>
  </w:style>
  <w:style w:type="character" w:customStyle="1" w:styleId="Paragraph7Char">
    <w:name w:val="Paragraph 7 Char"/>
    <w:link w:val="Paragraph7"/>
    <w:rsid w:val="00E301BD"/>
    <w:rPr>
      <w:rFonts w:ascii="Times New Roman" w:hAnsi="Times New Roman"/>
      <w:sz w:val="24"/>
      <w:szCs w:val="24"/>
    </w:rPr>
  </w:style>
  <w:style w:type="paragraph" w:customStyle="1" w:styleId="Notelevel1">
    <w:name w:val="Note level 1"/>
    <w:basedOn w:val="Normal"/>
    <w:next w:val="Normal"/>
    <w:link w:val="Notelevel1Char"/>
    <w:rsid w:val="00E301BD"/>
    <w:pPr>
      <w:keepLines/>
      <w:tabs>
        <w:tab w:val="left" w:pos="806"/>
      </w:tabs>
      <w:spacing w:before="240" w:line="280" w:lineRule="atLeast"/>
      <w:ind w:left="1138" w:hanging="1138"/>
      <w:jc w:val="both"/>
    </w:pPr>
    <w:rPr>
      <w:szCs w:val="20"/>
    </w:rPr>
  </w:style>
  <w:style w:type="character" w:customStyle="1" w:styleId="Notelevel1Char">
    <w:name w:val="Note level 1 Char"/>
    <w:link w:val="Notelevel1"/>
    <w:rsid w:val="00E301BD"/>
    <w:rPr>
      <w:rFonts w:ascii="Times New Roman" w:hAnsi="Times New Roman"/>
      <w:sz w:val="24"/>
    </w:rPr>
  </w:style>
  <w:style w:type="paragraph" w:customStyle="1" w:styleId="Notelevel2">
    <w:name w:val="Note level 2"/>
    <w:basedOn w:val="Normal"/>
    <w:next w:val="Normal"/>
    <w:link w:val="Notelevel2Char"/>
    <w:rsid w:val="00E301BD"/>
    <w:pPr>
      <w:keepLines/>
      <w:tabs>
        <w:tab w:val="left" w:pos="1166"/>
      </w:tabs>
      <w:spacing w:before="240" w:line="280" w:lineRule="atLeast"/>
      <w:ind w:left="1498" w:hanging="1138"/>
      <w:jc w:val="both"/>
    </w:pPr>
    <w:rPr>
      <w:szCs w:val="20"/>
    </w:rPr>
  </w:style>
  <w:style w:type="character" w:customStyle="1" w:styleId="Notelevel2Char">
    <w:name w:val="Note level 2 Char"/>
    <w:link w:val="Notelevel2"/>
    <w:rsid w:val="00E301BD"/>
    <w:rPr>
      <w:rFonts w:ascii="Times New Roman" w:hAnsi="Times New Roman"/>
      <w:sz w:val="24"/>
    </w:rPr>
  </w:style>
  <w:style w:type="paragraph" w:customStyle="1" w:styleId="Notelevel3">
    <w:name w:val="Note level 3"/>
    <w:basedOn w:val="Normal"/>
    <w:next w:val="Normal"/>
    <w:link w:val="Notelevel3Char"/>
    <w:rsid w:val="00E301BD"/>
    <w:pPr>
      <w:keepLines/>
      <w:tabs>
        <w:tab w:val="left" w:pos="1526"/>
      </w:tabs>
      <w:spacing w:before="240" w:line="280" w:lineRule="atLeast"/>
      <w:ind w:left="1858" w:hanging="1138"/>
      <w:jc w:val="both"/>
    </w:pPr>
    <w:rPr>
      <w:szCs w:val="20"/>
    </w:rPr>
  </w:style>
  <w:style w:type="character" w:customStyle="1" w:styleId="Notelevel3Char">
    <w:name w:val="Note level 3 Char"/>
    <w:link w:val="Notelevel3"/>
    <w:rsid w:val="00E301BD"/>
    <w:rPr>
      <w:rFonts w:ascii="Times New Roman" w:hAnsi="Times New Roman"/>
      <w:sz w:val="24"/>
    </w:rPr>
  </w:style>
  <w:style w:type="paragraph" w:customStyle="1" w:styleId="Notelevel4">
    <w:name w:val="Note level 4"/>
    <w:basedOn w:val="Normal"/>
    <w:next w:val="Normal"/>
    <w:link w:val="Notelevel4Char"/>
    <w:rsid w:val="00E301BD"/>
    <w:pPr>
      <w:keepLines/>
      <w:tabs>
        <w:tab w:val="left" w:pos="1886"/>
      </w:tabs>
      <w:spacing w:before="240" w:line="280" w:lineRule="atLeast"/>
      <w:ind w:left="2218" w:hanging="1138"/>
      <w:jc w:val="both"/>
    </w:pPr>
    <w:rPr>
      <w:szCs w:val="20"/>
    </w:rPr>
  </w:style>
  <w:style w:type="character" w:customStyle="1" w:styleId="Notelevel4Char">
    <w:name w:val="Note level 4 Char"/>
    <w:link w:val="Notelevel4"/>
    <w:rsid w:val="00E301BD"/>
    <w:rPr>
      <w:rFonts w:ascii="Times New Roman" w:hAnsi="Times New Roman"/>
      <w:sz w:val="24"/>
    </w:rPr>
  </w:style>
  <w:style w:type="paragraph" w:customStyle="1" w:styleId="Noteslevel1">
    <w:name w:val="Notes level 1"/>
    <w:basedOn w:val="Normal"/>
    <w:link w:val="Noteslevel1Char"/>
    <w:rsid w:val="00E301BD"/>
    <w:pPr>
      <w:spacing w:before="240" w:line="280" w:lineRule="atLeast"/>
      <w:ind w:left="720" w:hanging="720"/>
      <w:jc w:val="both"/>
    </w:pPr>
    <w:rPr>
      <w:szCs w:val="20"/>
    </w:rPr>
  </w:style>
  <w:style w:type="character" w:customStyle="1" w:styleId="Noteslevel1Char">
    <w:name w:val="Notes level 1 Char"/>
    <w:link w:val="Noteslevel1"/>
    <w:rsid w:val="00E301BD"/>
    <w:rPr>
      <w:rFonts w:ascii="Times New Roman" w:hAnsi="Times New Roman"/>
      <w:sz w:val="24"/>
    </w:rPr>
  </w:style>
  <w:style w:type="paragraph" w:customStyle="1" w:styleId="Noteslevel2">
    <w:name w:val="Notes level 2"/>
    <w:basedOn w:val="Normal"/>
    <w:link w:val="Noteslevel2Char"/>
    <w:rsid w:val="00E301BD"/>
    <w:pPr>
      <w:spacing w:before="240" w:line="280" w:lineRule="atLeast"/>
      <w:ind w:left="1080" w:hanging="720"/>
      <w:jc w:val="both"/>
    </w:pPr>
    <w:rPr>
      <w:szCs w:val="20"/>
    </w:rPr>
  </w:style>
  <w:style w:type="character" w:customStyle="1" w:styleId="Noteslevel2Char">
    <w:name w:val="Notes level 2 Char"/>
    <w:link w:val="Noteslevel2"/>
    <w:rsid w:val="00E301BD"/>
    <w:rPr>
      <w:rFonts w:ascii="Times New Roman" w:hAnsi="Times New Roman"/>
      <w:sz w:val="24"/>
    </w:rPr>
  </w:style>
  <w:style w:type="paragraph" w:customStyle="1" w:styleId="Noteslevel3">
    <w:name w:val="Notes level 3"/>
    <w:basedOn w:val="Normal"/>
    <w:link w:val="Noteslevel3Char"/>
    <w:rsid w:val="00E301BD"/>
    <w:pPr>
      <w:spacing w:before="240" w:line="280" w:lineRule="atLeast"/>
      <w:ind w:left="1440" w:hanging="720"/>
      <w:jc w:val="both"/>
    </w:pPr>
    <w:rPr>
      <w:szCs w:val="20"/>
    </w:rPr>
  </w:style>
  <w:style w:type="character" w:customStyle="1" w:styleId="Noteslevel3Char">
    <w:name w:val="Notes level 3 Char"/>
    <w:link w:val="Noteslevel3"/>
    <w:rsid w:val="00E301BD"/>
    <w:rPr>
      <w:rFonts w:ascii="Times New Roman" w:hAnsi="Times New Roman"/>
      <w:sz w:val="24"/>
    </w:rPr>
  </w:style>
  <w:style w:type="paragraph" w:customStyle="1" w:styleId="Noteslevel4">
    <w:name w:val="Notes level 4"/>
    <w:basedOn w:val="Normal"/>
    <w:link w:val="Noteslevel4Char"/>
    <w:rsid w:val="00E301BD"/>
    <w:pPr>
      <w:spacing w:before="240" w:line="280" w:lineRule="atLeast"/>
      <w:ind w:left="1800" w:hanging="720"/>
      <w:jc w:val="both"/>
    </w:pPr>
    <w:rPr>
      <w:szCs w:val="20"/>
    </w:rPr>
  </w:style>
  <w:style w:type="character" w:customStyle="1" w:styleId="Noteslevel4Char">
    <w:name w:val="Notes level 4 Char"/>
    <w:link w:val="Noteslevel4"/>
    <w:rsid w:val="00E301BD"/>
    <w:rPr>
      <w:rFonts w:ascii="Times New Roman" w:hAnsi="Times New Roman"/>
      <w:sz w:val="24"/>
    </w:rPr>
  </w:style>
  <w:style w:type="paragraph" w:customStyle="1" w:styleId="numberednotelevel1">
    <w:name w:val="numbered note level 1"/>
    <w:basedOn w:val="Normal"/>
    <w:link w:val="numberednotelevel1Char"/>
    <w:rsid w:val="00E301BD"/>
    <w:pPr>
      <w:tabs>
        <w:tab w:val="right" w:pos="1051"/>
      </w:tabs>
      <w:spacing w:before="240" w:line="280" w:lineRule="atLeast"/>
      <w:ind w:left="1166" w:hanging="1166"/>
      <w:jc w:val="both"/>
    </w:pPr>
    <w:rPr>
      <w:szCs w:val="20"/>
    </w:rPr>
  </w:style>
  <w:style w:type="character" w:customStyle="1" w:styleId="numberednotelevel1Char">
    <w:name w:val="numbered note level 1 Char"/>
    <w:link w:val="numberednotelevel1"/>
    <w:rsid w:val="00E301BD"/>
    <w:rPr>
      <w:rFonts w:ascii="Times New Roman" w:hAnsi="Times New Roman"/>
      <w:sz w:val="24"/>
    </w:rPr>
  </w:style>
  <w:style w:type="paragraph" w:customStyle="1" w:styleId="numberednotelevel2">
    <w:name w:val="numbered note level 2"/>
    <w:basedOn w:val="Normal"/>
    <w:link w:val="numberednotelevel2Char"/>
    <w:rsid w:val="00E301BD"/>
    <w:pPr>
      <w:tabs>
        <w:tab w:val="right" w:pos="1411"/>
      </w:tabs>
      <w:spacing w:before="240" w:line="280" w:lineRule="atLeast"/>
      <w:ind w:left="1526" w:hanging="1166"/>
      <w:jc w:val="both"/>
    </w:pPr>
    <w:rPr>
      <w:szCs w:val="20"/>
    </w:rPr>
  </w:style>
  <w:style w:type="character" w:customStyle="1" w:styleId="numberednotelevel2Char">
    <w:name w:val="numbered note level 2 Char"/>
    <w:link w:val="numberednotelevel2"/>
    <w:rsid w:val="00E301BD"/>
    <w:rPr>
      <w:rFonts w:ascii="Times New Roman" w:hAnsi="Times New Roman"/>
      <w:sz w:val="24"/>
    </w:rPr>
  </w:style>
  <w:style w:type="paragraph" w:customStyle="1" w:styleId="numberednotelevel3">
    <w:name w:val="numbered note level 3"/>
    <w:basedOn w:val="Normal"/>
    <w:link w:val="numberednotelevel3Char"/>
    <w:rsid w:val="00E301BD"/>
    <w:pPr>
      <w:tabs>
        <w:tab w:val="left" w:pos="1800"/>
      </w:tabs>
      <w:spacing w:before="240" w:line="280" w:lineRule="atLeast"/>
      <w:ind w:left="1440" w:hanging="720"/>
      <w:jc w:val="both"/>
    </w:pPr>
    <w:rPr>
      <w:szCs w:val="20"/>
    </w:rPr>
  </w:style>
  <w:style w:type="character" w:customStyle="1" w:styleId="numberednotelevel3Char">
    <w:name w:val="numbered note level 3 Char"/>
    <w:link w:val="numberednotelevel3"/>
    <w:rsid w:val="00E301BD"/>
    <w:rPr>
      <w:rFonts w:ascii="Times New Roman" w:hAnsi="Times New Roman"/>
      <w:sz w:val="24"/>
    </w:rPr>
  </w:style>
  <w:style w:type="paragraph" w:customStyle="1" w:styleId="numberednotelevel4">
    <w:name w:val="numbered note level 4"/>
    <w:basedOn w:val="Normal"/>
    <w:link w:val="numberednotelevel4Char"/>
    <w:rsid w:val="00E301BD"/>
    <w:pPr>
      <w:tabs>
        <w:tab w:val="right" w:pos="2131"/>
      </w:tabs>
      <w:spacing w:before="240" w:line="280" w:lineRule="atLeast"/>
      <w:ind w:left="2246" w:hanging="1166"/>
      <w:jc w:val="both"/>
    </w:pPr>
    <w:rPr>
      <w:szCs w:val="20"/>
    </w:rPr>
  </w:style>
  <w:style w:type="character" w:customStyle="1" w:styleId="numberednotelevel4Char">
    <w:name w:val="numbered note level 4 Char"/>
    <w:link w:val="numberednotelevel4"/>
    <w:rsid w:val="00E301BD"/>
    <w:rPr>
      <w:rFonts w:ascii="Times New Roman" w:hAnsi="Times New Roman"/>
      <w:sz w:val="24"/>
    </w:rPr>
  </w:style>
  <w:style w:type="paragraph" w:customStyle="1" w:styleId="Annex2">
    <w:name w:val="Annex 2"/>
    <w:basedOn w:val="Heading8"/>
    <w:next w:val="Normal"/>
    <w:link w:val="Annex2Char"/>
    <w:rsid w:val="00E301BD"/>
    <w:pPr>
      <w:keepNext/>
      <w:pageBreakBefore w:val="0"/>
      <w:numPr>
        <w:ilvl w:val="1"/>
      </w:numPr>
      <w:spacing w:before="240"/>
      <w:jc w:val="left"/>
      <w:outlineLvl w:val="9"/>
    </w:pPr>
    <w:rPr>
      <w:sz w:val="24"/>
    </w:rPr>
  </w:style>
  <w:style w:type="character" w:customStyle="1" w:styleId="Annex2Char">
    <w:name w:val="Annex 2 Char"/>
    <w:link w:val="Annex2"/>
    <w:rsid w:val="00E301BD"/>
    <w:rPr>
      <w:rFonts w:ascii="Times New Roman" w:hAnsi="Times New Roman"/>
      <w:b/>
      <w:iCs/>
      <w:caps/>
      <w:sz w:val="24"/>
      <w:szCs w:val="24"/>
    </w:rPr>
  </w:style>
  <w:style w:type="paragraph" w:customStyle="1" w:styleId="Annex3">
    <w:name w:val="Annex 3"/>
    <w:basedOn w:val="Normal"/>
    <w:next w:val="Normal"/>
    <w:link w:val="Annex3Char"/>
    <w:rsid w:val="00E301BD"/>
    <w:pPr>
      <w:keepNext/>
      <w:numPr>
        <w:ilvl w:val="2"/>
        <w:numId w:val="2"/>
      </w:numPr>
      <w:spacing w:before="240"/>
    </w:pPr>
    <w:rPr>
      <w:b/>
      <w:caps/>
      <w:szCs w:val="20"/>
    </w:rPr>
  </w:style>
  <w:style w:type="character" w:customStyle="1" w:styleId="Annex3Char">
    <w:name w:val="Annex 3 Char"/>
    <w:link w:val="Annex3"/>
    <w:rsid w:val="00E301BD"/>
    <w:rPr>
      <w:rFonts w:ascii="Times New Roman" w:hAnsi="Times New Roman"/>
      <w:b/>
      <w:caps/>
      <w:sz w:val="24"/>
    </w:rPr>
  </w:style>
  <w:style w:type="paragraph" w:customStyle="1" w:styleId="Annex4">
    <w:name w:val="Annex 4"/>
    <w:basedOn w:val="Normal"/>
    <w:next w:val="Normal"/>
    <w:link w:val="Annex4Char"/>
    <w:rsid w:val="00E301BD"/>
    <w:pPr>
      <w:keepNext/>
      <w:numPr>
        <w:ilvl w:val="3"/>
        <w:numId w:val="2"/>
      </w:numPr>
      <w:spacing w:before="240"/>
    </w:pPr>
    <w:rPr>
      <w:b/>
      <w:szCs w:val="20"/>
    </w:rPr>
  </w:style>
  <w:style w:type="character" w:customStyle="1" w:styleId="Annex4Char">
    <w:name w:val="Annex 4 Char"/>
    <w:link w:val="Annex4"/>
    <w:rsid w:val="00E301BD"/>
    <w:rPr>
      <w:rFonts w:ascii="Times New Roman" w:hAnsi="Times New Roman"/>
      <w:b/>
      <w:sz w:val="24"/>
    </w:rPr>
  </w:style>
  <w:style w:type="paragraph" w:customStyle="1" w:styleId="Annex5">
    <w:name w:val="Annex 5"/>
    <w:basedOn w:val="Normal"/>
    <w:next w:val="Normal"/>
    <w:link w:val="Annex5Char"/>
    <w:rsid w:val="00E301BD"/>
    <w:pPr>
      <w:keepNext/>
      <w:numPr>
        <w:ilvl w:val="4"/>
        <w:numId w:val="2"/>
      </w:numPr>
      <w:spacing w:before="240"/>
    </w:pPr>
    <w:rPr>
      <w:b/>
      <w:szCs w:val="20"/>
    </w:rPr>
  </w:style>
  <w:style w:type="character" w:customStyle="1" w:styleId="Annex5Char">
    <w:name w:val="Annex 5 Char"/>
    <w:link w:val="Annex5"/>
    <w:rsid w:val="00E301BD"/>
    <w:rPr>
      <w:rFonts w:ascii="Times New Roman" w:hAnsi="Times New Roman"/>
      <w:b/>
      <w:sz w:val="24"/>
    </w:rPr>
  </w:style>
  <w:style w:type="paragraph" w:customStyle="1" w:styleId="Annex6">
    <w:name w:val="Annex 6"/>
    <w:basedOn w:val="Normal"/>
    <w:next w:val="Normal"/>
    <w:link w:val="Annex6Char"/>
    <w:rsid w:val="00E301BD"/>
    <w:pPr>
      <w:keepNext/>
      <w:numPr>
        <w:ilvl w:val="5"/>
        <w:numId w:val="2"/>
      </w:numPr>
      <w:spacing w:before="240"/>
    </w:pPr>
    <w:rPr>
      <w:b/>
      <w:szCs w:val="20"/>
    </w:rPr>
  </w:style>
  <w:style w:type="character" w:customStyle="1" w:styleId="Annex6Char">
    <w:name w:val="Annex 6 Char"/>
    <w:link w:val="Annex6"/>
    <w:rsid w:val="00E301BD"/>
    <w:rPr>
      <w:rFonts w:ascii="Times New Roman" w:hAnsi="Times New Roman"/>
      <w:b/>
      <w:sz w:val="24"/>
    </w:rPr>
  </w:style>
  <w:style w:type="paragraph" w:customStyle="1" w:styleId="Annex7">
    <w:name w:val="Annex 7"/>
    <w:basedOn w:val="Normal"/>
    <w:next w:val="Normal"/>
    <w:link w:val="Annex7Char"/>
    <w:rsid w:val="00E301BD"/>
    <w:pPr>
      <w:keepNext/>
      <w:numPr>
        <w:ilvl w:val="6"/>
        <w:numId w:val="2"/>
      </w:numPr>
      <w:spacing w:before="240"/>
    </w:pPr>
    <w:rPr>
      <w:b/>
      <w:szCs w:val="20"/>
    </w:rPr>
  </w:style>
  <w:style w:type="character" w:customStyle="1" w:styleId="Annex7Char">
    <w:name w:val="Annex 7 Char"/>
    <w:link w:val="Annex7"/>
    <w:rsid w:val="00E301BD"/>
    <w:rPr>
      <w:rFonts w:ascii="Times New Roman" w:hAnsi="Times New Roman"/>
      <w:b/>
      <w:sz w:val="24"/>
    </w:rPr>
  </w:style>
  <w:style w:type="paragraph" w:customStyle="1" w:styleId="Annex8">
    <w:name w:val="Annex 8"/>
    <w:basedOn w:val="Normal"/>
    <w:next w:val="Normal"/>
    <w:link w:val="Annex8Char"/>
    <w:rsid w:val="00E301BD"/>
    <w:pPr>
      <w:keepNext/>
      <w:numPr>
        <w:ilvl w:val="7"/>
        <w:numId w:val="2"/>
      </w:numPr>
      <w:spacing w:before="240"/>
    </w:pPr>
    <w:rPr>
      <w:b/>
      <w:szCs w:val="20"/>
    </w:rPr>
  </w:style>
  <w:style w:type="character" w:customStyle="1" w:styleId="Annex8Char">
    <w:name w:val="Annex 8 Char"/>
    <w:link w:val="Annex8"/>
    <w:rsid w:val="00E301BD"/>
    <w:rPr>
      <w:rFonts w:ascii="Times New Roman" w:hAnsi="Times New Roman"/>
      <w:b/>
      <w:sz w:val="24"/>
    </w:rPr>
  </w:style>
  <w:style w:type="paragraph" w:customStyle="1" w:styleId="Annex9">
    <w:name w:val="Annex 9"/>
    <w:basedOn w:val="Normal"/>
    <w:next w:val="Normal"/>
    <w:link w:val="Annex9Char"/>
    <w:rsid w:val="00E301BD"/>
    <w:pPr>
      <w:keepNext/>
      <w:numPr>
        <w:ilvl w:val="8"/>
        <w:numId w:val="2"/>
      </w:numPr>
      <w:spacing w:before="240"/>
    </w:pPr>
    <w:rPr>
      <w:b/>
      <w:szCs w:val="20"/>
    </w:rPr>
  </w:style>
  <w:style w:type="character" w:customStyle="1" w:styleId="Annex9Char">
    <w:name w:val="Annex 9 Char"/>
    <w:link w:val="Annex9"/>
    <w:rsid w:val="00E301BD"/>
    <w:rPr>
      <w:rFonts w:ascii="Times New Roman" w:hAnsi="Times New Roman"/>
      <w:b/>
      <w:sz w:val="24"/>
    </w:rPr>
  </w:style>
  <w:style w:type="paragraph" w:customStyle="1" w:styleId="XParagraph2">
    <w:name w:val="XParagraph 2"/>
    <w:basedOn w:val="Annex2"/>
    <w:next w:val="Normal"/>
    <w:link w:val="XParagraph2Char"/>
    <w:rsid w:val="00E301BD"/>
    <w:pPr>
      <w:keepNext w:val="0"/>
      <w:tabs>
        <w:tab w:val="left" w:pos="547"/>
      </w:tabs>
      <w:spacing w:line="280" w:lineRule="atLeast"/>
      <w:jc w:val="both"/>
    </w:pPr>
    <w:rPr>
      <w:b w:val="0"/>
      <w:caps w:val="0"/>
    </w:rPr>
  </w:style>
  <w:style w:type="character" w:customStyle="1" w:styleId="XParagraph2Char">
    <w:name w:val="XParagraph 2 Char"/>
    <w:link w:val="XParagraph2"/>
    <w:rsid w:val="00E301BD"/>
    <w:rPr>
      <w:rFonts w:ascii="Times New Roman" w:hAnsi="Times New Roman"/>
      <w:iCs/>
      <w:sz w:val="24"/>
      <w:szCs w:val="24"/>
    </w:rPr>
  </w:style>
  <w:style w:type="paragraph" w:customStyle="1" w:styleId="XParagraph3">
    <w:name w:val="XParagraph 3"/>
    <w:basedOn w:val="Annex3"/>
    <w:next w:val="Normal"/>
    <w:link w:val="XParagraph3Char"/>
    <w:rsid w:val="00E301BD"/>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E301BD"/>
    <w:rPr>
      <w:rFonts w:ascii="Times New Roman" w:hAnsi="Times New Roman"/>
      <w:sz w:val="24"/>
    </w:rPr>
  </w:style>
  <w:style w:type="paragraph" w:customStyle="1" w:styleId="XParagraph4">
    <w:name w:val="XParagraph 4"/>
    <w:basedOn w:val="Annex4"/>
    <w:next w:val="Normal"/>
    <w:link w:val="XParagraph4Char"/>
    <w:rsid w:val="00E301BD"/>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E301BD"/>
    <w:rPr>
      <w:rFonts w:ascii="Times New Roman" w:hAnsi="Times New Roman"/>
      <w:sz w:val="24"/>
    </w:rPr>
  </w:style>
  <w:style w:type="paragraph" w:customStyle="1" w:styleId="XParagraph5">
    <w:name w:val="XParagraph 5"/>
    <w:basedOn w:val="Annex5"/>
    <w:next w:val="Normal"/>
    <w:link w:val="XParagraph5Char"/>
    <w:rsid w:val="00E301BD"/>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E301BD"/>
    <w:rPr>
      <w:rFonts w:ascii="Times New Roman" w:hAnsi="Times New Roman"/>
      <w:sz w:val="24"/>
    </w:rPr>
  </w:style>
  <w:style w:type="paragraph" w:customStyle="1" w:styleId="XParagraph6">
    <w:name w:val="XParagraph 6"/>
    <w:basedOn w:val="Annex6"/>
    <w:next w:val="Normal"/>
    <w:link w:val="XParagraph6Char"/>
    <w:rsid w:val="00E301BD"/>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E301BD"/>
    <w:rPr>
      <w:rFonts w:ascii="Times New Roman" w:hAnsi="Times New Roman"/>
      <w:sz w:val="24"/>
    </w:rPr>
  </w:style>
  <w:style w:type="paragraph" w:customStyle="1" w:styleId="XParagraph7">
    <w:name w:val="XParagraph 7"/>
    <w:basedOn w:val="Annex7"/>
    <w:next w:val="Normal"/>
    <w:link w:val="XParagraph7Char"/>
    <w:rsid w:val="00E301BD"/>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E301BD"/>
    <w:rPr>
      <w:rFonts w:ascii="Times New Roman" w:hAnsi="Times New Roman"/>
      <w:sz w:val="24"/>
    </w:rPr>
  </w:style>
  <w:style w:type="paragraph" w:customStyle="1" w:styleId="XParagraph8">
    <w:name w:val="XParagraph 8"/>
    <w:basedOn w:val="Annex8"/>
    <w:next w:val="Normal"/>
    <w:link w:val="XParagraph8Char"/>
    <w:rsid w:val="00E301BD"/>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E301BD"/>
    <w:rPr>
      <w:rFonts w:ascii="Times New Roman" w:hAnsi="Times New Roman"/>
      <w:sz w:val="24"/>
    </w:rPr>
  </w:style>
  <w:style w:type="paragraph" w:customStyle="1" w:styleId="XParagraph9">
    <w:name w:val="XParagraph 9"/>
    <w:basedOn w:val="Annex9"/>
    <w:next w:val="Normal"/>
    <w:link w:val="XParagraph9Char"/>
    <w:rsid w:val="00E301BD"/>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E301BD"/>
    <w:rPr>
      <w:rFonts w:ascii="Times New Roman" w:hAnsi="Times New Roman"/>
      <w:sz w:val="24"/>
    </w:rPr>
  </w:style>
  <w:style w:type="character" w:customStyle="1" w:styleId="ListChar">
    <w:name w:val="List Char"/>
    <w:link w:val="List"/>
    <w:rsid w:val="00E301BD"/>
    <w:rPr>
      <w:rFonts w:ascii="Times New Roman" w:hAnsi="Times New Roman"/>
      <w:sz w:val="24"/>
    </w:rPr>
  </w:style>
  <w:style w:type="paragraph" w:customStyle="1" w:styleId="FigureTitle">
    <w:name w:val="_Figure_Title"/>
    <w:basedOn w:val="Normal"/>
    <w:next w:val="Normal"/>
    <w:rsid w:val="00E301BD"/>
    <w:pPr>
      <w:keepLines/>
      <w:suppressAutoHyphens/>
      <w:spacing w:before="240"/>
      <w:jc w:val="center"/>
    </w:pPr>
    <w:rPr>
      <w:b/>
    </w:rPr>
  </w:style>
  <w:style w:type="paragraph" w:customStyle="1" w:styleId="TableTitle">
    <w:name w:val="_Table_Title"/>
    <w:basedOn w:val="Normal"/>
    <w:next w:val="Normal"/>
    <w:rsid w:val="00E301BD"/>
    <w:pPr>
      <w:keepNext/>
      <w:keepLines/>
      <w:suppressAutoHyphens/>
      <w:spacing w:before="480" w:after="240"/>
      <w:jc w:val="center"/>
    </w:pPr>
    <w:rPr>
      <w:b/>
    </w:rPr>
  </w:style>
  <w:style w:type="paragraph" w:customStyle="1" w:styleId="TableCell--Coding">
    <w:name w:val="Table Cell--Coding"/>
    <w:basedOn w:val="Normal"/>
    <w:qFormat/>
    <w:rsid w:val="00E301BD"/>
    <w:pPr>
      <w:keepLines/>
      <w:widowControl w:val="0"/>
      <w:spacing w:before="60" w:line="260" w:lineRule="atLeast"/>
    </w:pPr>
    <w:rPr>
      <w:rFonts w:ascii="Courier New" w:eastAsia="MS Mincho" w:hAnsi="Courier New" w:cs="Courier New"/>
      <w:kern w:val="2"/>
      <w:sz w:val="20"/>
      <w:szCs w:val="22"/>
      <w:lang w:eastAsia="ja-JP"/>
    </w:rPr>
  </w:style>
  <w:style w:type="paragraph" w:customStyle="1" w:styleId="TableCell">
    <w:name w:val="Table Cell"/>
    <w:basedOn w:val="Normal"/>
    <w:rsid w:val="00E301BD"/>
    <w:pPr>
      <w:keepLines/>
      <w:widowControl w:val="0"/>
      <w:spacing w:before="60" w:line="260" w:lineRule="atLeast"/>
    </w:pPr>
    <w:rPr>
      <w:rFonts w:ascii="Arial" w:eastAsia="MS Mincho" w:hAnsi="Arial"/>
      <w:kern w:val="2"/>
      <w:sz w:val="20"/>
      <w:szCs w:val="22"/>
      <w:lang w:eastAsia="ja-JP"/>
    </w:rPr>
  </w:style>
  <w:style w:type="paragraph" w:customStyle="1" w:styleId="CvrLogo">
    <w:name w:val="CvrLogo"/>
    <w:rsid w:val="00E301BD"/>
    <w:pPr>
      <w:pBdr>
        <w:bottom w:val="single" w:sz="4" w:space="12" w:color="auto"/>
      </w:pBdr>
    </w:pPr>
    <w:rPr>
      <w:rFonts w:ascii="Times New Roman" w:hAnsi="Times New Roman"/>
      <w:sz w:val="24"/>
      <w:szCs w:val="24"/>
    </w:rPr>
  </w:style>
  <w:style w:type="paragraph" w:customStyle="1" w:styleId="CvrDocType">
    <w:name w:val="CvrDocType"/>
    <w:rsid w:val="00E301BD"/>
    <w:pPr>
      <w:spacing w:before="1600"/>
      <w:jc w:val="center"/>
    </w:pPr>
    <w:rPr>
      <w:rFonts w:ascii="Arial" w:hAnsi="Arial" w:cs="Arial"/>
      <w:b/>
      <w:caps/>
      <w:sz w:val="40"/>
      <w:szCs w:val="40"/>
    </w:rPr>
  </w:style>
  <w:style w:type="paragraph" w:customStyle="1" w:styleId="CvrDocNo">
    <w:name w:val="CvrDocNo"/>
    <w:rsid w:val="00E301BD"/>
    <w:pPr>
      <w:spacing w:before="480"/>
      <w:jc w:val="center"/>
    </w:pPr>
    <w:rPr>
      <w:rFonts w:ascii="Arial" w:hAnsi="Arial" w:cs="Arial"/>
      <w:b/>
      <w:sz w:val="40"/>
      <w:szCs w:val="40"/>
    </w:rPr>
  </w:style>
  <w:style w:type="paragraph" w:customStyle="1" w:styleId="CvrColor">
    <w:name w:val="CvrColor"/>
    <w:rsid w:val="00E301BD"/>
    <w:pPr>
      <w:spacing w:before="2000"/>
      <w:jc w:val="center"/>
    </w:pPr>
    <w:rPr>
      <w:rFonts w:ascii="Arial" w:hAnsi="Arial" w:cs="Arial"/>
      <w:b/>
      <w:caps/>
      <w:sz w:val="44"/>
      <w:szCs w:val="44"/>
    </w:rPr>
  </w:style>
  <w:style w:type="paragraph" w:customStyle="1" w:styleId="CvrDate">
    <w:name w:val="CvrDate"/>
    <w:rsid w:val="00E301BD"/>
    <w:pPr>
      <w:jc w:val="center"/>
    </w:pPr>
    <w:rPr>
      <w:rFonts w:ascii="Arial" w:hAnsi="Arial" w:cs="Arial"/>
      <w:b/>
      <w:sz w:val="36"/>
      <w:szCs w:val="36"/>
    </w:rPr>
  </w:style>
  <w:style w:type="paragraph" w:customStyle="1" w:styleId="CvrSeriesDraft">
    <w:name w:val="CvrSeriesDraft"/>
    <w:basedOn w:val="Normal"/>
    <w:rsid w:val="00E301BD"/>
    <w:pPr>
      <w:spacing w:before="1240" w:after="1240" w:line="380" w:lineRule="exact"/>
      <w:jc w:val="center"/>
    </w:pPr>
    <w:rPr>
      <w:rFonts w:ascii="Arial" w:hAnsi="Arial" w:cs="Arial"/>
      <w:b/>
      <w:sz w:val="39"/>
      <w:szCs w:val="39"/>
    </w:rPr>
  </w:style>
  <w:style w:type="paragraph" w:customStyle="1" w:styleId="CvrTitle">
    <w:name w:val="CvrTitle"/>
    <w:rsid w:val="00E301BD"/>
    <w:pPr>
      <w:spacing w:before="480" w:line="960" w:lineRule="atLeast"/>
      <w:jc w:val="center"/>
    </w:pPr>
    <w:rPr>
      <w:rFonts w:ascii="Arial" w:hAnsi="Arial" w:cs="Arial"/>
      <w:b/>
      <w:caps/>
      <w:sz w:val="72"/>
      <w:szCs w:val="72"/>
    </w:rPr>
  </w:style>
  <w:style w:type="paragraph" w:styleId="BalloonText">
    <w:name w:val="Balloon Text"/>
    <w:basedOn w:val="Normal"/>
    <w:link w:val="BalloonTextChar"/>
    <w:uiPriority w:val="99"/>
    <w:semiHidden/>
    <w:unhideWhenUsed/>
    <w:rsid w:val="00E301BD"/>
    <w:pPr>
      <w:jc w:val="both"/>
    </w:pPr>
    <w:rPr>
      <w:rFonts w:ascii="Tahoma" w:hAnsi="Tahoma" w:cs="Tahoma"/>
      <w:sz w:val="16"/>
      <w:szCs w:val="16"/>
    </w:rPr>
  </w:style>
  <w:style w:type="character" w:customStyle="1" w:styleId="BalloonTextChar">
    <w:name w:val="Balloon Text Char"/>
    <w:link w:val="BalloonText"/>
    <w:uiPriority w:val="99"/>
    <w:semiHidden/>
    <w:rsid w:val="00E301BD"/>
    <w:rPr>
      <w:rFonts w:ascii="Tahoma" w:hAnsi="Tahoma" w:cs="Tahoma"/>
      <w:sz w:val="16"/>
      <w:szCs w:val="16"/>
    </w:rPr>
  </w:style>
  <w:style w:type="character" w:styleId="Hyperlink">
    <w:name w:val="Hyperlink"/>
    <w:uiPriority w:val="99"/>
    <w:unhideWhenUsed/>
    <w:rsid w:val="00E301BD"/>
    <w:rPr>
      <w:color w:val="0000FF"/>
      <w:u w:val="single"/>
    </w:rPr>
  </w:style>
  <w:style w:type="character" w:styleId="CommentReference">
    <w:name w:val="annotation reference"/>
    <w:uiPriority w:val="99"/>
    <w:semiHidden/>
    <w:unhideWhenUsed/>
    <w:rsid w:val="00E301BD"/>
    <w:rPr>
      <w:sz w:val="16"/>
      <w:szCs w:val="16"/>
    </w:rPr>
  </w:style>
  <w:style w:type="paragraph" w:styleId="CommentText">
    <w:name w:val="annotation text"/>
    <w:basedOn w:val="Normal"/>
    <w:link w:val="CommentTextChar"/>
    <w:uiPriority w:val="99"/>
    <w:semiHidden/>
    <w:unhideWhenUsed/>
    <w:rsid w:val="00E301BD"/>
    <w:pPr>
      <w:spacing w:before="240" w:line="280" w:lineRule="atLeast"/>
      <w:jc w:val="both"/>
    </w:pPr>
    <w:rPr>
      <w:sz w:val="20"/>
      <w:szCs w:val="20"/>
    </w:rPr>
  </w:style>
  <w:style w:type="character" w:customStyle="1" w:styleId="CommentTextChar">
    <w:name w:val="Comment Text Char"/>
    <w:link w:val="CommentText"/>
    <w:uiPriority w:val="99"/>
    <w:semiHidden/>
    <w:rsid w:val="00E301B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301BD"/>
    <w:rPr>
      <w:b/>
      <w:bCs/>
    </w:rPr>
  </w:style>
  <w:style w:type="character" w:customStyle="1" w:styleId="CommentSubjectChar">
    <w:name w:val="Comment Subject Char"/>
    <w:link w:val="CommentSubject"/>
    <w:uiPriority w:val="99"/>
    <w:semiHidden/>
    <w:rsid w:val="00E301BD"/>
    <w:rPr>
      <w:rFonts w:ascii="Times New Roman" w:hAnsi="Times New Roman"/>
      <w:b/>
      <w:bCs/>
    </w:rPr>
  </w:style>
  <w:style w:type="character" w:customStyle="1" w:styleId="UnresolvedMention1">
    <w:name w:val="Unresolved Mention1"/>
    <w:uiPriority w:val="99"/>
    <w:semiHidden/>
    <w:unhideWhenUsed/>
    <w:rsid w:val="00DB6F63"/>
    <w:rPr>
      <w:color w:val="605E5C"/>
      <w:shd w:val="clear" w:color="auto" w:fill="E1DFDD"/>
    </w:rPr>
  </w:style>
  <w:style w:type="paragraph" w:styleId="Revision">
    <w:name w:val="Revision"/>
    <w:hidden/>
    <w:uiPriority w:val="99"/>
    <w:semiHidden/>
    <w:rsid w:val="00C25F3B"/>
    <w:rPr>
      <w:rFonts w:ascii="Times New Roman" w:hAnsi="Times New Roman"/>
      <w:sz w:val="24"/>
    </w:rPr>
  </w:style>
  <w:style w:type="character" w:styleId="FollowedHyperlink">
    <w:name w:val="FollowedHyperlink"/>
    <w:uiPriority w:val="99"/>
    <w:semiHidden/>
    <w:unhideWhenUsed/>
    <w:rsid w:val="00C25F3B"/>
    <w:rPr>
      <w:color w:val="954F72"/>
      <w:u w:val="single"/>
    </w:rPr>
  </w:style>
  <w:style w:type="paragraph" w:styleId="ListParagraph">
    <w:name w:val="List Paragraph"/>
    <w:basedOn w:val="Normal"/>
    <w:uiPriority w:val="34"/>
    <w:qFormat/>
    <w:rsid w:val="00952F7B"/>
    <w:pPr>
      <w:spacing w:before="240" w:line="280" w:lineRule="atLeast"/>
      <w:ind w:left="720"/>
      <w:contextualSpacing/>
      <w:jc w:val="both"/>
    </w:pPr>
    <w:rPr>
      <w:szCs w:val="20"/>
    </w:rPr>
  </w:style>
  <w:style w:type="paragraph" w:styleId="HTMLPreformatted">
    <w:name w:val="HTML Preformatted"/>
    <w:basedOn w:val="Normal"/>
    <w:link w:val="HTMLPreformattedChar"/>
    <w:uiPriority w:val="99"/>
    <w:unhideWhenUsed/>
    <w:rsid w:val="00CD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4736"/>
    <w:rPr>
      <w:rFonts w:ascii="Courier New" w:hAnsi="Courier New" w:cs="Courier New"/>
    </w:rPr>
  </w:style>
  <w:style w:type="table" w:styleId="TableGrid">
    <w:name w:val="Table Grid"/>
    <w:basedOn w:val="TableNormal"/>
    <w:uiPriority w:val="59"/>
    <w:rsid w:val="00012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12C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12C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12C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3">
    <w:name w:val="Grid Table 2 Accent 3"/>
    <w:basedOn w:val="TableNormal"/>
    <w:uiPriority w:val="47"/>
    <w:rsid w:val="00012CF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rey">
    <w:name w:val="grey"/>
    <w:basedOn w:val="DefaultParagraphFont"/>
    <w:rsid w:val="00C14305"/>
  </w:style>
  <w:style w:type="paragraph" w:styleId="Caption">
    <w:name w:val="caption"/>
    <w:basedOn w:val="Normal"/>
    <w:next w:val="Normal"/>
    <w:uiPriority w:val="35"/>
    <w:unhideWhenUsed/>
    <w:qFormat/>
    <w:rsid w:val="005B6218"/>
    <w:pPr>
      <w:spacing w:after="200"/>
    </w:pPr>
    <w:rPr>
      <w:i/>
      <w:iCs/>
      <w:color w:val="44546A" w:themeColor="text2"/>
      <w:sz w:val="18"/>
      <w:szCs w:val="18"/>
    </w:rPr>
  </w:style>
  <w:style w:type="table" w:styleId="ListTable3">
    <w:name w:val="List Table 3"/>
    <w:basedOn w:val="TableNormal"/>
    <w:uiPriority w:val="48"/>
    <w:rsid w:val="002373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ableofFigures">
    <w:name w:val="table of figures"/>
    <w:basedOn w:val="Normal"/>
    <w:next w:val="Normal"/>
    <w:uiPriority w:val="99"/>
    <w:unhideWhenUsed/>
    <w:rsid w:val="00255877"/>
  </w:style>
  <w:style w:type="paragraph" w:styleId="TOCHeading">
    <w:name w:val="TOC Heading"/>
    <w:basedOn w:val="Heading1"/>
    <w:next w:val="Normal"/>
    <w:uiPriority w:val="39"/>
    <w:unhideWhenUsed/>
    <w:qFormat/>
    <w:rsid w:val="00255877"/>
    <w:pPr>
      <w:pageBreakBefore w:val="0"/>
      <w:numPr>
        <w:numId w:val="0"/>
      </w:numPr>
      <w:spacing w:before="240" w:line="259" w:lineRule="auto"/>
      <w:outlineLvl w:val="9"/>
    </w:pPr>
    <w:rPr>
      <w:rFonts w:asciiTheme="majorHAnsi" w:eastAsiaTheme="majorEastAsia" w:hAnsiTheme="majorHAnsi" w:cstheme="majorBidi"/>
      <w:b w:val="0"/>
      <w:caps w:val="0"/>
      <w:color w:val="2F5496" w:themeColor="accent1" w:themeShade="BF"/>
      <w:sz w:val="32"/>
      <w:szCs w:val="32"/>
    </w:rPr>
  </w:style>
  <w:style w:type="table" w:styleId="GridTable4-Accent5">
    <w:name w:val="Grid Table 4 Accent 5"/>
    <w:basedOn w:val="TableNormal"/>
    <w:uiPriority w:val="49"/>
    <w:rsid w:val="0003373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8366">
      <w:bodyDiv w:val="1"/>
      <w:marLeft w:val="0"/>
      <w:marRight w:val="0"/>
      <w:marTop w:val="0"/>
      <w:marBottom w:val="0"/>
      <w:divBdr>
        <w:top w:val="none" w:sz="0" w:space="0" w:color="auto"/>
        <w:left w:val="none" w:sz="0" w:space="0" w:color="auto"/>
        <w:bottom w:val="none" w:sz="0" w:space="0" w:color="auto"/>
        <w:right w:val="none" w:sz="0" w:space="0" w:color="auto"/>
      </w:divBdr>
    </w:div>
    <w:div w:id="264727521">
      <w:bodyDiv w:val="1"/>
      <w:marLeft w:val="0"/>
      <w:marRight w:val="0"/>
      <w:marTop w:val="0"/>
      <w:marBottom w:val="0"/>
      <w:divBdr>
        <w:top w:val="none" w:sz="0" w:space="0" w:color="auto"/>
        <w:left w:val="none" w:sz="0" w:space="0" w:color="auto"/>
        <w:bottom w:val="none" w:sz="0" w:space="0" w:color="auto"/>
        <w:right w:val="none" w:sz="0" w:space="0" w:color="auto"/>
      </w:divBdr>
    </w:div>
    <w:div w:id="337536242">
      <w:bodyDiv w:val="1"/>
      <w:marLeft w:val="0"/>
      <w:marRight w:val="0"/>
      <w:marTop w:val="0"/>
      <w:marBottom w:val="0"/>
      <w:divBdr>
        <w:top w:val="none" w:sz="0" w:space="0" w:color="auto"/>
        <w:left w:val="none" w:sz="0" w:space="0" w:color="auto"/>
        <w:bottom w:val="none" w:sz="0" w:space="0" w:color="auto"/>
        <w:right w:val="none" w:sz="0" w:space="0" w:color="auto"/>
      </w:divBdr>
    </w:div>
    <w:div w:id="466315297">
      <w:bodyDiv w:val="1"/>
      <w:marLeft w:val="0"/>
      <w:marRight w:val="0"/>
      <w:marTop w:val="0"/>
      <w:marBottom w:val="0"/>
      <w:divBdr>
        <w:top w:val="none" w:sz="0" w:space="0" w:color="auto"/>
        <w:left w:val="none" w:sz="0" w:space="0" w:color="auto"/>
        <w:bottom w:val="none" w:sz="0" w:space="0" w:color="auto"/>
        <w:right w:val="none" w:sz="0" w:space="0" w:color="auto"/>
      </w:divBdr>
    </w:div>
    <w:div w:id="488598489">
      <w:bodyDiv w:val="1"/>
      <w:marLeft w:val="0"/>
      <w:marRight w:val="0"/>
      <w:marTop w:val="0"/>
      <w:marBottom w:val="0"/>
      <w:divBdr>
        <w:top w:val="none" w:sz="0" w:space="0" w:color="auto"/>
        <w:left w:val="none" w:sz="0" w:space="0" w:color="auto"/>
        <w:bottom w:val="none" w:sz="0" w:space="0" w:color="auto"/>
        <w:right w:val="none" w:sz="0" w:space="0" w:color="auto"/>
      </w:divBdr>
    </w:div>
    <w:div w:id="539048322">
      <w:bodyDiv w:val="1"/>
      <w:marLeft w:val="0"/>
      <w:marRight w:val="0"/>
      <w:marTop w:val="0"/>
      <w:marBottom w:val="0"/>
      <w:divBdr>
        <w:top w:val="none" w:sz="0" w:space="0" w:color="auto"/>
        <w:left w:val="none" w:sz="0" w:space="0" w:color="auto"/>
        <w:bottom w:val="none" w:sz="0" w:space="0" w:color="auto"/>
        <w:right w:val="none" w:sz="0" w:space="0" w:color="auto"/>
      </w:divBdr>
    </w:div>
    <w:div w:id="577790558">
      <w:bodyDiv w:val="1"/>
      <w:marLeft w:val="0"/>
      <w:marRight w:val="0"/>
      <w:marTop w:val="0"/>
      <w:marBottom w:val="0"/>
      <w:divBdr>
        <w:top w:val="none" w:sz="0" w:space="0" w:color="auto"/>
        <w:left w:val="none" w:sz="0" w:space="0" w:color="auto"/>
        <w:bottom w:val="none" w:sz="0" w:space="0" w:color="auto"/>
        <w:right w:val="none" w:sz="0" w:space="0" w:color="auto"/>
      </w:divBdr>
    </w:div>
    <w:div w:id="704251023">
      <w:bodyDiv w:val="1"/>
      <w:marLeft w:val="0"/>
      <w:marRight w:val="0"/>
      <w:marTop w:val="0"/>
      <w:marBottom w:val="0"/>
      <w:divBdr>
        <w:top w:val="none" w:sz="0" w:space="0" w:color="auto"/>
        <w:left w:val="none" w:sz="0" w:space="0" w:color="auto"/>
        <w:bottom w:val="none" w:sz="0" w:space="0" w:color="auto"/>
        <w:right w:val="none" w:sz="0" w:space="0" w:color="auto"/>
      </w:divBdr>
    </w:div>
    <w:div w:id="826746987">
      <w:bodyDiv w:val="1"/>
      <w:marLeft w:val="0"/>
      <w:marRight w:val="0"/>
      <w:marTop w:val="0"/>
      <w:marBottom w:val="0"/>
      <w:divBdr>
        <w:top w:val="none" w:sz="0" w:space="0" w:color="auto"/>
        <w:left w:val="none" w:sz="0" w:space="0" w:color="auto"/>
        <w:bottom w:val="none" w:sz="0" w:space="0" w:color="auto"/>
        <w:right w:val="none" w:sz="0" w:space="0" w:color="auto"/>
      </w:divBdr>
    </w:div>
    <w:div w:id="1041323790">
      <w:bodyDiv w:val="1"/>
      <w:marLeft w:val="0"/>
      <w:marRight w:val="0"/>
      <w:marTop w:val="0"/>
      <w:marBottom w:val="0"/>
      <w:divBdr>
        <w:top w:val="none" w:sz="0" w:space="0" w:color="auto"/>
        <w:left w:val="none" w:sz="0" w:space="0" w:color="auto"/>
        <w:bottom w:val="none" w:sz="0" w:space="0" w:color="auto"/>
        <w:right w:val="none" w:sz="0" w:space="0" w:color="auto"/>
      </w:divBdr>
    </w:div>
    <w:div w:id="1450128737">
      <w:bodyDiv w:val="1"/>
      <w:marLeft w:val="0"/>
      <w:marRight w:val="0"/>
      <w:marTop w:val="0"/>
      <w:marBottom w:val="0"/>
      <w:divBdr>
        <w:top w:val="none" w:sz="0" w:space="0" w:color="auto"/>
        <w:left w:val="none" w:sz="0" w:space="0" w:color="auto"/>
        <w:bottom w:val="none" w:sz="0" w:space="0" w:color="auto"/>
        <w:right w:val="none" w:sz="0" w:space="0" w:color="auto"/>
      </w:divBdr>
    </w:div>
    <w:div w:id="1483277466">
      <w:bodyDiv w:val="1"/>
      <w:marLeft w:val="0"/>
      <w:marRight w:val="0"/>
      <w:marTop w:val="0"/>
      <w:marBottom w:val="0"/>
      <w:divBdr>
        <w:top w:val="none" w:sz="0" w:space="0" w:color="auto"/>
        <w:left w:val="none" w:sz="0" w:space="0" w:color="auto"/>
        <w:bottom w:val="none" w:sz="0" w:space="0" w:color="auto"/>
        <w:right w:val="none" w:sz="0" w:space="0" w:color="auto"/>
      </w:divBdr>
    </w:div>
    <w:div w:id="1605767298">
      <w:bodyDiv w:val="1"/>
      <w:marLeft w:val="0"/>
      <w:marRight w:val="0"/>
      <w:marTop w:val="0"/>
      <w:marBottom w:val="0"/>
      <w:divBdr>
        <w:top w:val="none" w:sz="0" w:space="0" w:color="auto"/>
        <w:left w:val="none" w:sz="0" w:space="0" w:color="auto"/>
        <w:bottom w:val="none" w:sz="0" w:space="0" w:color="auto"/>
        <w:right w:val="none" w:sz="0" w:space="0" w:color="auto"/>
      </w:divBdr>
    </w:div>
    <w:div w:id="1610040939">
      <w:bodyDiv w:val="1"/>
      <w:marLeft w:val="0"/>
      <w:marRight w:val="0"/>
      <w:marTop w:val="0"/>
      <w:marBottom w:val="0"/>
      <w:divBdr>
        <w:top w:val="none" w:sz="0" w:space="0" w:color="auto"/>
        <w:left w:val="none" w:sz="0" w:space="0" w:color="auto"/>
        <w:bottom w:val="none" w:sz="0" w:space="0" w:color="auto"/>
        <w:right w:val="none" w:sz="0" w:space="0" w:color="auto"/>
      </w:divBdr>
    </w:div>
    <w:div w:id="1768890829">
      <w:bodyDiv w:val="1"/>
      <w:marLeft w:val="0"/>
      <w:marRight w:val="0"/>
      <w:marTop w:val="0"/>
      <w:marBottom w:val="0"/>
      <w:divBdr>
        <w:top w:val="none" w:sz="0" w:space="0" w:color="auto"/>
        <w:left w:val="none" w:sz="0" w:space="0" w:color="auto"/>
        <w:bottom w:val="none" w:sz="0" w:space="0" w:color="auto"/>
        <w:right w:val="none" w:sz="0" w:space="0" w:color="auto"/>
      </w:divBdr>
    </w:div>
    <w:div w:id="1778215609">
      <w:bodyDiv w:val="1"/>
      <w:marLeft w:val="0"/>
      <w:marRight w:val="0"/>
      <w:marTop w:val="0"/>
      <w:marBottom w:val="0"/>
      <w:divBdr>
        <w:top w:val="none" w:sz="0" w:space="0" w:color="auto"/>
        <w:left w:val="none" w:sz="0" w:space="0" w:color="auto"/>
        <w:bottom w:val="none" w:sz="0" w:space="0" w:color="auto"/>
        <w:right w:val="none" w:sz="0" w:space="0" w:color="auto"/>
      </w:divBdr>
    </w:div>
    <w:div w:id="1801993665">
      <w:bodyDiv w:val="1"/>
      <w:marLeft w:val="0"/>
      <w:marRight w:val="0"/>
      <w:marTop w:val="0"/>
      <w:marBottom w:val="0"/>
      <w:divBdr>
        <w:top w:val="none" w:sz="0" w:space="0" w:color="auto"/>
        <w:left w:val="none" w:sz="0" w:space="0" w:color="auto"/>
        <w:bottom w:val="none" w:sz="0" w:space="0" w:color="auto"/>
        <w:right w:val="none" w:sz="0" w:space="0" w:color="auto"/>
      </w:divBdr>
    </w:div>
    <w:div w:id="1809980570">
      <w:bodyDiv w:val="1"/>
      <w:marLeft w:val="0"/>
      <w:marRight w:val="0"/>
      <w:marTop w:val="0"/>
      <w:marBottom w:val="0"/>
      <w:divBdr>
        <w:top w:val="none" w:sz="0" w:space="0" w:color="auto"/>
        <w:left w:val="none" w:sz="0" w:space="0" w:color="auto"/>
        <w:bottom w:val="none" w:sz="0" w:space="0" w:color="auto"/>
        <w:right w:val="none" w:sz="0" w:space="0" w:color="auto"/>
      </w:divBdr>
    </w:div>
    <w:div w:id="1914583513">
      <w:bodyDiv w:val="1"/>
      <w:marLeft w:val="0"/>
      <w:marRight w:val="0"/>
      <w:marTop w:val="0"/>
      <w:marBottom w:val="0"/>
      <w:divBdr>
        <w:top w:val="none" w:sz="0" w:space="0" w:color="auto"/>
        <w:left w:val="none" w:sz="0" w:space="0" w:color="auto"/>
        <w:bottom w:val="none" w:sz="0" w:space="0" w:color="auto"/>
        <w:right w:val="none" w:sz="0" w:space="0" w:color="auto"/>
      </w:divBdr>
    </w:div>
    <w:div w:id="2045249104">
      <w:bodyDiv w:val="1"/>
      <w:marLeft w:val="0"/>
      <w:marRight w:val="0"/>
      <w:marTop w:val="0"/>
      <w:marBottom w:val="0"/>
      <w:divBdr>
        <w:top w:val="none" w:sz="0" w:space="0" w:color="auto"/>
        <w:left w:val="none" w:sz="0" w:space="0" w:color="auto"/>
        <w:bottom w:val="none" w:sz="0" w:space="0" w:color="auto"/>
        <w:right w:val="none" w:sz="0" w:space="0" w:color="auto"/>
      </w:divBdr>
    </w:div>
    <w:div w:id="2063092628">
      <w:bodyDiv w:val="1"/>
      <w:marLeft w:val="0"/>
      <w:marRight w:val="0"/>
      <w:marTop w:val="0"/>
      <w:marBottom w:val="0"/>
      <w:divBdr>
        <w:top w:val="none" w:sz="0" w:space="0" w:color="auto"/>
        <w:left w:val="none" w:sz="0" w:space="0" w:color="auto"/>
        <w:bottom w:val="none" w:sz="0" w:space="0" w:color="auto"/>
        <w:right w:val="none" w:sz="0" w:space="0" w:color="auto"/>
      </w:divBdr>
    </w:div>
    <w:div w:id="21204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public.ccsds.org/Pubs/352x0b1.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0AB489-3305-4BFB-901F-8FEF5FBA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65</Pages>
  <Words>14754</Words>
  <Characters>84100</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CCSDS Streamlined Bundle Security Protocol Specification</vt:lpstr>
    </vt:vector>
  </TitlesOfParts>
  <Company>TGannett Galactic</Company>
  <LinksUpToDate>false</LinksUpToDate>
  <CharactersWithSpaces>98657</CharactersWithSpaces>
  <SharedDoc>false</SharedDoc>
  <HLinks>
    <vt:vector size="210" baseType="variant">
      <vt:variant>
        <vt:i4>1900598</vt:i4>
      </vt:variant>
      <vt:variant>
        <vt:i4>248</vt:i4>
      </vt:variant>
      <vt:variant>
        <vt:i4>0</vt:i4>
      </vt:variant>
      <vt:variant>
        <vt:i4>5</vt:i4>
      </vt:variant>
      <vt:variant>
        <vt:lpwstr/>
      </vt:variant>
      <vt:variant>
        <vt:lpwstr>_Toc494121431</vt:lpwstr>
      </vt:variant>
      <vt:variant>
        <vt:i4>1900598</vt:i4>
      </vt:variant>
      <vt:variant>
        <vt:i4>242</vt:i4>
      </vt:variant>
      <vt:variant>
        <vt:i4>0</vt:i4>
      </vt:variant>
      <vt:variant>
        <vt:i4>5</vt:i4>
      </vt:variant>
      <vt:variant>
        <vt:lpwstr/>
      </vt:variant>
      <vt:variant>
        <vt:lpwstr>_Toc494121430</vt:lpwstr>
      </vt:variant>
      <vt:variant>
        <vt:i4>1835062</vt:i4>
      </vt:variant>
      <vt:variant>
        <vt:i4>236</vt:i4>
      </vt:variant>
      <vt:variant>
        <vt:i4>0</vt:i4>
      </vt:variant>
      <vt:variant>
        <vt:i4>5</vt:i4>
      </vt:variant>
      <vt:variant>
        <vt:lpwstr/>
      </vt:variant>
      <vt:variant>
        <vt:lpwstr>_Toc494121429</vt:lpwstr>
      </vt:variant>
      <vt:variant>
        <vt:i4>1835062</vt:i4>
      </vt:variant>
      <vt:variant>
        <vt:i4>227</vt:i4>
      </vt:variant>
      <vt:variant>
        <vt:i4>0</vt:i4>
      </vt:variant>
      <vt:variant>
        <vt:i4>5</vt:i4>
      </vt:variant>
      <vt:variant>
        <vt:lpwstr/>
      </vt:variant>
      <vt:variant>
        <vt:lpwstr>_Toc494121428</vt:lpwstr>
      </vt:variant>
      <vt:variant>
        <vt:i4>1835062</vt:i4>
      </vt:variant>
      <vt:variant>
        <vt:i4>221</vt:i4>
      </vt:variant>
      <vt:variant>
        <vt:i4>0</vt:i4>
      </vt:variant>
      <vt:variant>
        <vt:i4>5</vt:i4>
      </vt:variant>
      <vt:variant>
        <vt:lpwstr/>
      </vt:variant>
      <vt:variant>
        <vt:lpwstr>_Toc494121427</vt:lpwstr>
      </vt:variant>
      <vt:variant>
        <vt:i4>1835062</vt:i4>
      </vt:variant>
      <vt:variant>
        <vt:i4>215</vt:i4>
      </vt:variant>
      <vt:variant>
        <vt:i4>0</vt:i4>
      </vt:variant>
      <vt:variant>
        <vt:i4>5</vt:i4>
      </vt:variant>
      <vt:variant>
        <vt:lpwstr/>
      </vt:variant>
      <vt:variant>
        <vt:lpwstr>_Toc494121426</vt:lpwstr>
      </vt:variant>
      <vt:variant>
        <vt:i4>1835062</vt:i4>
      </vt:variant>
      <vt:variant>
        <vt:i4>209</vt:i4>
      </vt:variant>
      <vt:variant>
        <vt:i4>0</vt:i4>
      </vt:variant>
      <vt:variant>
        <vt:i4>5</vt:i4>
      </vt:variant>
      <vt:variant>
        <vt:lpwstr/>
      </vt:variant>
      <vt:variant>
        <vt:lpwstr>_Toc494121425</vt:lpwstr>
      </vt:variant>
      <vt:variant>
        <vt:i4>1966143</vt:i4>
      </vt:variant>
      <vt:variant>
        <vt:i4>200</vt:i4>
      </vt:variant>
      <vt:variant>
        <vt:i4>0</vt:i4>
      </vt:variant>
      <vt:variant>
        <vt:i4>5</vt:i4>
      </vt:variant>
      <vt:variant>
        <vt:lpwstr/>
      </vt:variant>
      <vt:variant>
        <vt:lpwstr>_Toc507598447</vt:lpwstr>
      </vt:variant>
      <vt:variant>
        <vt:i4>1966143</vt:i4>
      </vt:variant>
      <vt:variant>
        <vt:i4>194</vt:i4>
      </vt:variant>
      <vt:variant>
        <vt:i4>0</vt:i4>
      </vt:variant>
      <vt:variant>
        <vt:i4>5</vt:i4>
      </vt:variant>
      <vt:variant>
        <vt:lpwstr/>
      </vt:variant>
      <vt:variant>
        <vt:lpwstr>_Toc507598446</vt:lpwstr>
      </vt:variant>
      <vt:variant>
        <vt:i4>1966143</vt:i4>
      </vt:variant>
      <vt:variant>
        <vt:i4>188</vt:i4>
      </vt:variant>
      <vt:variant>
        <vt:i4>0</vt:i4>
      </vt:variant>
      <vt:variant>
        <vt:i4>5</vt:i4>
      </vt:variant>
      <vt:variant>
        <vt:lpwstr/>
      </vt:variant>
      <vt:variant>
        <vt:lpwstr>_Toc507598445</vt:lpwstr>
      </vt:variant>
      <vt:variant>
        <vt:i4>1966143</vt:i4>
      </vt:variant>
      <vt:variant>
        <vt:i4>182</vt:i4>
      </vt:variant>
      <vt:variant>
        <vt:i4>0</vt:i4>
      </vt:variant>
      <vt:variant>
        <vt:i4>5</vt:i4>
      </vt:variant>
      <vt:variant>
        <vt:lpwstr/>
      </vt:variant>
      <vt:variant>
        <vt:lpwstr>_Toc507598444</vt:lpwstr>
      </vt:variant>
      <vt:variant>
        <vt:i4>1966143</vt:i4>
      </vt:variant>
      <vt:variant>
        <vt:i4>176</vt:i4>
      </vt:variant>
      <vt:variant>
        <vt:i4>0</vt:i4>
      </vt:variant>
      <vt:variant>
        <vt:i4>5</vt:i4>
      </vt:variant>
      <vt:variant>
        <vt:lpwstr/>
      </vt:variant>
      <vt:variant>
        <vt:lpwstr>_Toc507598443</vt:lpwstr>
      </vt:variant>
      <vt:variant>
        <vt:i4>1048624</vt:i4>
      </vt:variant>
      <vt:variant>
        <vt:i4>167</vt:i4>
      </vt:variant>
      <vt:variant>
        <vt:i4>0</vt:i4>
      </vt:variant>
      <vt:variant>
        <vt:i4>5</vt:i4>
      </vt:variant>
      <vt:variant>
        <vt:lpwstr/>
      </vt:variant>
      <vt:variant>
        <vt:lpwstr>_Toc22630442</vt:lpwstr>
      </vt:variant>
      <vt:variant>
        <vt:i4>1245232</vt:i4>
      </vt:variant>
      <vt:variant>
        <vt:i4>161</vt:i4>
      </vt:variant>
      <vt:variant>
        <vt:i4>0</vt:i4>
      </vt:variant>
      <vt:variant>
        <vt:i4>5</vt:i4>
      </vt:variant>
      <vt:variant>
        <vt:lpwstr/>
      </vt:variant>
      <vt:variant>
        <vt:lpwstr>_Toc22630441</vt:lpwstr>
      </vt:variant>
      <vt:variant>
        <vt:i4>1179696</vt:i4>
      </vt:variant>
      <vt:variant>
        <vt:i4>155</vt:i4>
      </vt:variant>
      <vt:variant>
        <vt:i4>0</vt:i4>
      </vt:variant>
      <vt:variant>
        <vt:i4>5</vt:i4>
      </vt:variant>
      <vt:variant>
        <vt:lpwstr/>
      </vt:variant>
      <vt:variant>
        <vt:lpwstr>_Toc22630440</vt:lpwstr>
      </vt:variant>
      <vt:variant>
        <vt:i4>1769527</vt:i4>
      </vt:variant>
      <vt:variant>
        <vt:i4>149</vt:i4>
      </vt:variant>
      <vt:variant>
        <vt:i4>0</vt:i4>
      </vt:variant>
      <vt:variant>
        <vt:i4>5</vt:i4>
      </vt:variant>
      <vt:variant>
        <vt:lpwstr/>
      </vt:variant>
      <vt:variant>
        <vt:lpwstr>_Toc22630439</vt:lpwstr>
      </vt:variant>
      <vt:variant>
        <vt:i4>1703991</vt:i4>
      </vt:variant>
      <vt:variant>
        <vt:i4>143</vt:i4>
      </vt:variant>
      <vt:variant>
        <vt:i4>0</vt:i4>
      </vt:variant>
      <vt:variant>
        <vt:i4>5</vt:i4>
      </vt:variant>
      <vt:variant>
        <vt:lpwstr/>
      </vt:variant>
      <vt:variant>
        <vt:lpwstr>_Toc22630438</vt:lpwstr>
      </vt:variant>
      <vt:variant>
        <vt:i4>1376311</vt:i4>
      </vt:variant>
      <vt:variant>
        <vt:i4>137</vt:i4>
      </vt:variant>
      <vt:variant>
        <vt:i4>0</vt:i4>
      </vt:variant>
      <vt:variant>
        <vt:i4>5</vt:i4>
      </vt:variant>
      <vt:variant>
        <vt:lpwstr/>
      </vt:variant>
      <vt:variant>
        <vt:lpwstr>_Toc22630437</vt:lpwstr>
      </vt:variant>
      <vt:variant>
        <vt:i4>1310775</vt:i4>
      </vt:variant>
      <vt:variant>
        <vt:i4>131</vt:i4>
      </vt:variant>
      <vt:variant>
        <vt:i4>0</vt:i4>
      </vt:variant>
      <vt:variant>
        <vt:i4>5</vt:i4>
      </vt:variant>
      <vt:variant>
        <vt:lpwstr/>
      </vt:variant>
      <vt:variant>
        <vt:lpwstr>_Toc22630436</vt:lpwstr>
      </vt:variant>
      <vt:variant>
        <vt:i4>1507383</vt:i4>
      </vt:variant>
      <vt:variant>
        <vt:i4>125</vt:i4>
      </vt:variant>
      <vt:variant>
        <vt:i4>0</vt:i4>
      </vt:variant>
      <vt:variant>
        <vt:i4>5</vt:i4>
      </vt:variant>
      <vt:variant>
        <vt:lpwstr/>
      </vt:variant>
      <vt:variant>
        <vt:lpwstr>_Toc22630435</vt:lpwstr>
      </vt:variant>
      <vt:variant>
        <vt:i4>1441847</vt:i4>
      </vt:variant>
      <vt:variant>
        <vt:i4>119</vt:i4>
      </vt:variant>
      <vt:variant>
        <vt:i4>0</vt:i4>
      </vt:variant>
      <vt:variant>
        <vt:i4>5</vt:i4>
      </vt:variant>
      <vt:variant>
        <vt:lpwstr/>
      </vt:variant>
      <vt:variant>
        <vt:lpwstr>_Toc22630434</vt:lpwstr>
      </vt:variant>
      <vt:variant>
        <vt:i4>1114167</vt:i4>
      </vt:variant>
      <vt:variant>
        <vt:i4>113</vt:i4>
      </vt:variant>
      <vt:variant>
        <vt:i4>0</vt:i4>
      </vt:variant>
      <vt:variant>
        <vt:i4>5</vt:i4>
      </vt:variant>
      <vt:variant>
        <vt:lpwstr/>
      </vt:variant>
      <vt:variant>
        <vt:lpwstr>_Toc22630433</vt:lpwstr>
      </vt:variant>
      <vt:variant>
        <vt:i4>1048631</vt:i4>
      </vt:variant>
      <vt:variant>
        <vt:i4>107</vt:i4>
      </vt:variant>
      <vt:variant>
        <vt:i4>0</vt:i4>
      </vt:variant>
      <vt:variant>
        <vt:i4>5</vt:i4>
      </vt:variant>
      <vt:variant>
        <vt:lpwstr/>
      </vt:variant>
      <vt:variant>
        <vt:lpwstr>_Toc22630432</vt:lpwstr>
      </vt:variant>
      <vt:variant>
        <vt:i4>1245239</vt:i4>
      </vt:variant>
      <vt:variant>
        <vt:i4>101</vt:i4>
      </vt:variant>
      <vt:variant>
        <vt:i4>0</vt:i4>
      </vt:variant>
      <vt:variant>
        <vt:i4>5</vt:i4>
      </vt:variant>
      <vt:variant>
        <vt:lpwstr/>
      </vt:variant>
      <vt:variant>
        <vt:lpwstr>_Toc22630431</vt:lpwstr>
      </vt:variant>
      <vt:variant>
        <vt:i4>1179703</vt:i4>
      </vt:variant>
      <vt:variant>
        <vt:i4>95</vt:i4>
      </vt:variant>
      <vt:variant>
        <vt:i4>0</vt:i4>
      </vt:variant>
      <vt:variant>
        <vt:i4>5</vt:i4>
      </vt:variant>
      <vt:variant>
        <vt:lpwstr/>
      </vt:variant>
      <vt:variant>
        <vt:lpwstr>_Toc22630430</vt:lpwstr>
      </vt:variant>
      <vt:variant>
        <vt:i4>1769526</vt:i4>
      </vt:variant>
      <vt:variant>
        <vt:i4>89</vt:i4>
      </vt:variant>
      <vt:variant>
        <vt:i4>0</vt:i4>
      </vt:variant>
      <vt:variant>
        <vt:i4>5</vt:i4>
      </vt:variant>
      <vt:variant>
        <vt:lpwstr/>
      </vt:variant>
      <vt:variant>
        <vt:lpwstr>_Toc22630429</vt:lpwstr>
      </vt:variant>
      <vt:variant>
        <vt:i4>1703990</vt:i4>
      </vt:variant>
      <vt:variant>
        <vt:i4>83</vt:i4>
      </vt:variant>
      <vt:variant>
        <vt:i4>0</vt:i4>
      </vt:variant>
      <vt:variant>
        <vt:i4>5</vt:i4>
      </vt:variant>
      <vt:variant>
        <vt:lpwstr/>
      </vt:variant>
      <vt:variant>
        <vt:lpwstr>_Toc22630428</vt:lpwstr>
      </vt:variant>
      <vt:variant>
        <vt:i4>1376310</vt:i4>
      </vt:variant>
      <vt:variant>
        <vt:i4>77</vt:i4>
      </vt:variant>
      <vt:variant>
        <vt:i4>0</vt:i4>
      </vt:variant>
      <vt:variant>
        <vt:i4>5</vt:i4>
      </vt:variant>
      <vt:variant>
        <vt:lpwstr/>
      </vt:variant>
      <vt:variant>
        <vt:lpwstr>_Toc22630427</vt:lpwstr>
      </vt:variant>
      <vt:variant>
        <vt:i4>1310774</vt:i4>
      </vt:variant>
      <vt:variant>
        <vt:i4>71</vt:i4>
      </vt:variant>
      <vt:variant>
        <vt:i4>0</vt:i4>
      </vt:variant>
      <vt:variant>
        <vt:i4>5</vt:i4>
      </vt:variant>
      <vt:variant>
        <vt:lpwstr/>
      </vt:variant>
      <vt:variant>
        <vt:lpwstr>_Toc22630426</vt:lpwstr>
      </vt:variant>
      <vt:variant>
        <vt:i4>1507382</vt:i4>
      </vt:variant>
      <vt:variant>
        <vt:i4>65</vt:i4>
      </vt:variant>
      <vt:variant>
        <vt:i4>0</vt:i4>
      </vt:variant>
      <vt:variant>
        <vt:i4>5</vt:i4>
      </vt:variant>
      <vt:variant>
        <vt:lpwstr/>
      </vt:variant>
      <vt:variant>
        <vt:lpwstr>_Toc22630425</vt:lpwstr>
      </vt:variant>
      <vt:variant>
        <vt:i4>1441846</vt:i4>
      </vt:variant>
      <vt:variant>
        <vt:i4>59</vt:i4>
      </vt:variant>
      <vt:variant>
        <vt:i4>0</vt:i4>
      </vt:variant>
      <vt:variant>
        <vt:i4>5</vt:i4>
      </vt:variant>
      <vt:variant>
        <vt:lpwstr/>
      </vt:variant>
      <vt:variant>
        <vt:lpwstr>_Toc22630424</vt:lpwstr>
      </vt:variant>
      <vt:variant>
        <vt:i4>1048630</vt:i4>
      </vt:variant>
      <vt:variant>
        <vt:i4>53</vt:i4>
      </vt:variant>
      <vt:variant>
        <vt:i4>0</vt:i4>
      </vt:variant>
      <vt:variant>
        <vt:i4>5</vt:i4>
      </vt:variant>
      <vt:variant>
        <vt:lpwstr/>
      </vt:variant>
      <vt:variant>
        <vt:lpwstr>_Toc22630422</vt:lpwstr>
      </vt:variant>
      <vt:variant>
        <vt:i4>1245238</vt:i4>
      </vt:variant>
      <vt:variant>
        <vt:i4>47</vt:i4>
      </vt:variant>
      <vt:variant>
        <vt:i4>0</vt:i4>
      </vt:variant>
      <vt:variant>
        <vt:i4>5</vt:i4>
      </vt:variant>
      <vt:variant>
        <vt:lpwstr/>
      </vt:variant>
      <vt:variant>
        <vt:lpwstr>_Toc22630421</vt:lpwstr>
      </vt:variant>
      <vt:variant>
        <vt:i4>1179702</vt:i4>
      </vt:variant>
      <vt:variant>
        <vt:i4>41</vt:i4>
      </vt:variant>
      <vt:variant>
        <vt:i4>0</vt:i4>
      </vt:variant>
      <vt:variant>
        <vt:i4>5</vt:i4>
      </vt:variant>
      <vt:variant>
        <vt:lpwstr/>
      </vt:variant>
      <vt:variant>
        <vt:lpwstr>_Toc22630420</vt:lpwstr>
      </vt:variant>
      <vt:variant>
        <vt:i4>5767191</vt:i4>
      </vt:variant>
      <vt:variant>
        <vt:i4>0</vt:i4>
      </vt:variant>
      <vt:variant>
        <vt:i4>0</vt:i4>
      </vt:variant>
      <vt:variant>
        <vt:i4>5</vt:i4>
      </vt:variant>
      <vt:variant>
        <vt:lpwstr>https://public.ccsds.org/Pubs/352x0b1.pdf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Streamlined Bundle Security Protocol Specification</dc:title>
  <dc:subject/>
  <dc:creator>CCSDS</dc:creator>
  <cp:keywords/>
  <cp:lastModifiedBy>Birrane, Edward J.</cp:lastModifiedBy>
  <cp:revision>10</cp:revision>
  <cp:lastPrinted>2018-03-15T21:20:00Z</cp:lastPrinted>
  <dcterms:created xsi:type="dcterms:W3CDTF">2020-05-01T21:43:00Z</dcterms:created>
  <dcterms:modified xsi:type="dcterms:W3CDTF">2020-05-01T21:51:00Z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734.5-R-1</vt:lpwstr>
  </property>
  <property fmtid="{D5CDD505-2E9C-101B-9397-08002B2CF9AE}" pid="3" name="Issue">
    <vt:lpwstr>Issue 1</vt:lpwstr>
  </property>
  <property fmtid="{D5CDD505-2E9C-101B-9397-08002B2CF9AE}" pid="4" name="Issue Date">
    <vt:lpwstr>March 2018</vt:lpwstr>
  </property>
  <property fmtid="{D5CDD505-2E9C-101B-9397-08002B2CF9AE}" pid="5" name="Document Type">
    <vt:lpwstr>Draft Recommended Standard</vt:lpwstr>
  </property>
  <property fmtid="{D5CDD505-2E9C-101B-9397-08002B2CF9AE}" pid="6" name="Document Color">
    <vt:lpwstr>Red Book</vt:lpwstr>
  </property>
</Properties>
</file>