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59" w:rsidRDefault="00027659" w:rsidP="00027659">
      <w:pPr>
        <w:pStyle w:val="Heading1"/>
      </w:pPr>
      <w:r>
        <w:t>Time Management Working Group</w:t>
      </w:r>
      <w:r w:rsidR="00277543">
        <w:t xml:space="preserve"> Minutes</w:t>
      </w:r>
    </w:p>
    <w:p w:rsidR="00EC2B41" w:rsidRDefault="002324B8" w:rsidP="00027659">
      <w:r>
        <w:t>202</w:t>
      </w:r>
      <w:r w:rsidR="00EC2B41">
        <w:t>2-0</w:t>
      </w:r>
      <w:r w:rsidR="00467250">
        <w:t>5</w:t>
      </w:r>
      <w:r w:rsidR="00EC2B41">
        <w:t>-</w:t>
      </w:r>
      <w:r w:rsidR="00467250">
        <w:t>13</w:t>
      </w:r>
      <w:r w:rsidR="00EC2B41">
        <w:t xml:space="preserve"> teleconference m</w:t>
      </w:r>
      <w:r>
        <w:t>eeting</w:t>
      </w:r>
      <w:r w:rsidR="00EC2B41">
        <w:br/>
        <w:t>14:00 – 16:00 UTC</w:t>
      </w:r>
    </w:p>
    <w:p w:rsidR="00277543" w:rsidRDefault="00277543" w:rsidP="00027659">
      <w:pPr>
        <w:pStyle w:val="Heading2"/>
      </w:pPr>
      <w:r>
        <w:t>Attending</w:t>
      </w:r>
    </w:p>
    <w:p w:rsidR="003A464B" w:rsidRDefault="00CE0069" w:rsidP="00215944">
      <w:pPr>
        <w:pStyle w:val="ListParagraph"/>
        <w:numPr>
          <w:ilvl w:val="0"/>
          <w:numId w:val="13"/>
        </w:numPr>
      </w:pPr>
      <w:r>
        <w:t>Jon Hamkins</w:t>
      </w:r>
    </w:p>
    <w:p w:rsidR="00BB67B7" w:rsidRDefault="00BB67B7" w:rsidP="00215944">
      <w:pPr>
        <w:pStyle w:val="ListParagraph"/>
        <w:numPr>
          <w:ilvl w:val="0"/>
          <w:numId w:val="13"/>
        </w:numPr>
      </w:pPr>
      <w:r>
        <w:t xml:space="preserve">Beau Blanding </w:t>
      </w:r>
    </w:p>
    <w:p w:rsidR="00D11136" w:rsidRDefault="00D11136" w:rsidP="00215944">
      <w:pPr>
        <w:pStyle w:val="ListParagraph"/>
        <w:numPr>
          <w:ilvl w:val="0"/>
          <w:numId w:val="13"/>
        </w:numPr>
      </w:pPr>
      <w:r>
        <w:t>Stan Cooper</w:t>
      </w:r>
    </w:p>
    <w:p w:rsidR="001066DB" w:rsidRDefault="001066DB" w:rsidP="00215944">
      <w:pPr>
        <w:pStyle w:val="ListParagraph"/>
        <w:numPr>
          <w:ilvl w:val="0"/>
          <w:numId w:val="13"/>
        </w:numPr>
      </w:pPr>
      <w:r>
        <w:t>Eric Pitts</w:t>
      </w:r>
    </w:p>
    <w:p w:rsidR="00BB67B7" w:rsidRDefault="00BB67B7" w:rsidP="00215944">
      <w:pPr>
        <w:pStyle w:val="ListParagraph"/>
        <w:numPr>
          <w:ilvl w:val="0"/>
          <w:numId w:val="13"/>
        </w:numPr>
      </w:pPr>
      <w:r>
        <w:t>Greg Kazz</w:t>
      </w:r>
    </w:p>
    <w:p w:rsidR="001066DB" w:rsidRDefault="001066DB" w:rsidP="00215944">
      <w:pPr>
        <w:pStyle w:val="ListParagraph"/>
        <w:numPr>
          <w:ilvl w:val="0"/>
          <w:numId w:val="13"/>
        </w:numPr>
      </w:pPr>
      <w:r>
        <w:t>Yukio Yamamoto</w:t>
      </w:r>
    </w:p>
    <w:p w:rsidR="00DF6A59" w:rsidRDefault="001066DB" w:rsidP="00DF6A59">
      <w:pPr>
        <w:pStyle w:val="ListParagraph"/>
        <w:numPr>
          <w:ilvl w:val="0"/>
          <w:numId w:val="13"/>
        </w:numPr>
      </w:pPr>
      <w:r>
        <w:t xml:space="preserve">Christian </w:t>
      </w:r>
      <w:proofErr w:type="spellStart"/>
      <w:r>
        <w:t>Stangl</w:t>
      </w:r>
      <w:proofErr w:type="spellEnd"/>
    </w:p>
    <w:p w:rsidR="001066DB" w:rsidRDefault="001066DB" w:rsidP="00215944">
      <w:pPr>
        <w:pStyle w:val="ListParagraph"/>
        <w:numPr>
          <w:ilvl w:val="0"/>
          <w:numId w:val="13"/>
        </w:numPr>
      </w:pPr>
      <w:r>
        <w:t>Juan Crenshaw – GSFC, nav branch (Cheryl) TDM working group</w:t>
      </w:r>
    </w:p>
    <w:p w:rsidR="001066DB" w:rsidRDefault="00BB67B7" w:rsidP="00215944">
      <w:pPr>
        <w:pStyle w:val="ListParagraph"/>
        <w:numPr>
          <w:ilvl w:val="0"/>
          <w:numId w:val="13"/>
        </w:numPr>
      </w:pPr>
      <w:r>
        <w:t>L</w:t>
      </w:r>
      <w:r w:rsidR="001066DB">
        <w:t xml:space="preserve">u </w:t>
      </w:r>
      <w:r>
        <w:t>L</w:t>
      </w:r>
      <w:r w:rsidR="001066DB">
        <w:t>an</w:t>
      </w:r>
    </w:p>
    <w:p w:rsidR="001066DB" w:rsidRDefault="001066DB" w:rsidP="00215944">
      <w:pPr>
        <w:pStyle w:val="ListParagraph"/>
        <w:numPr>
          <w:ilvl w:val="0"/>
          <w:numId w:val="13"/>
        </w:numPr>
      </w:pPr>
      <w:proofErr w:type="spellStart"/>
      <w:r>
        <w:t>PeiNan</w:t>
      </w:r>
      <w:proofErr w:type="spellEnd"/>
    </w:p>
    <w:p w:rsidR="00D11136" w:rsidRDefault="001066DB" w:rsidP="00DF6A59">
      <w:pPr>
        <w:pStyle w:val="ListParagraph"/>
        <w:numPr>
          <w:ilvl w:val="0"/>
          <w:numId w:val="13"/>
        </w:numPr>
      </w:pPr>
      <w:proofErr w:type="spellStart"/>
      <w:r>
        <w:t>Sinda</w:t>
      </w:r>
      <w:proofErr w:type="spellEnd"/>
      <w:r>
        <w:t xml:space="preserve"> </w:t>
      </w:r>
      <w:proofErr w:type="spellStart"/>
      <w:r>
        <w:t>Mejri</w:t>
      </w:r>
      <w:proofErr w:type="spellEnd"/>
    </w:p>
    <w:p w:rsidR="00AA36E1" w:rsidRDefault="000A7594" w:rsidP="00121903">
      <w:pPr>
        <w:pStyle w:val="Heading2"/>
      </w:pPr>
      <w:r>
        <w:t>Agenda:</w:t>
      </w:r>
    </w:p>
    <w:p w:rsidR="006819AB" w:rsidRDefault="006819AB" w:rsidP="006819AB">
      <w:pPr>
        <w:pStyle w:val="ListParagraph"/>
        <w:numPr>
          <w:ilvl w:val="0"/>
          <w:numId w:val="14"/>
        </w:numPr>
      </w:pPr>
      <w:r>
        <w:t xml:space="preserve">Introduction and review of the agenda </w:t>
      </w:r>
    </w:p>
    <w:p w:rsidR="006819AB" w:rsidRDefault="006819AB" w:rsidP="006819AB">
      <w:pPr>
        <w:pStyle w:val="ListParagraph"/>
        <w:numPr>
          <w:ilvl w:val="0"/>
          <w:numId w:val="14"/>
        </w:numPr>
      </w:pPr>
      <w:r>
        <w:t>Review of the draft Green book</w:t>
      </w:r>
    </w:p>
    <w:p w:rsidR="002672E7" w:rsidRDefault="002672E7" w:rsidP="006819AB">
      <w:pPr>
        <w:pStyle w:val="ListParagraph"/>
        <w:numPr>
          <w:ilvl w:val="0"/>
          <w:numId w:val="14"/>
        </w:numPr>
      </w:pPr>
      <w:r>
        <w:t>Discussion of possible standards to develop</w:t>
      </w:r>
    </w:p>
    <w:p w:rsidR="002672E7" w:rsidRDefault="002672E7" w:rsidP="002672E7">
      <w:pPr>
        <w:pStyle w:val="ListParagraph"/>
        <w:numPr>
          <w:ilvl w:val="1"/>
          <w:numId w:val="14"/>
        </w:numPr>
      </w:pPr>
      <w:r>
        <w:t>IOAG service catalog anticipates these standards:</w:t>
      </w:r>
    </w:p>
    <w:p w:rsidR="002672E7" w:rsidRDefault="002672E7" w:rsidP="002672E7">
      <w:pPr>
        <w:pStyle w:val="ListParagraph"/>
        <w:numPr>
          <w:ilvl w:val="2"/>
          <w:numId w:val="14"/>
        </w:numPr>
      </w:pPr>
      <w:r>
        <w:t>Clock Correlation procedures Magenta Book</w:t>
      </w:r>
    </w:p>
    <w:p w:rsidR="002672E7" w:rsidRDefault="002672E7" w:rsidP="002672E7">
      <w:pPr>
        <w:pStyle w:val="ListParagraph"/>
        <w:numPr>
          <w:ilvl w:val="2"/>
          <w:numId w:val="14"/>
        </w:numPr>
      </w:pPr>
      <w:r>
        <w:t>Time Synchronization Blue Book</w:t>
      </w:r>
    </w:p>
    <w:p w:rsidR="002672E7" w:rsidRDefault="002672E7" w:rsidP="002672E7">
      <w:pPr>
        <w:pStyle w:val="ListParagraph"/>
        <w:numPr>
          <w:ilvl w:val="2"/>
          <w:numId w:val="14"/>
        </w:numPr>
      </w:pPr>
      <w:r>
        <w:t>Time Transfer Blue Book</w:t>
      </w:r>
    </w:p>
    <w:p w:rsidR="00AA36E1" w:rsidRDefault="006819AB" w:rsidP="006819AB">
      <w:pPr>
        <w:pStyle w:val="ListParagraph"/>
        <w:numPr>
          <w:ilvl w:val="0"/>
          <w:numId w:val="14"/>
        </w:numPr>
      </w:pPr>
      <w:r>
        <w:t>Conclusion/wrap up</w:t>
      </w:r>
    </w:p>
    <w:p w:rsidR="00886C1B" w:rsidRDefault="00886C1B" w:rsidP="00886C1B">
      <w:r>
        <w:t xml:space="preserve">The working group met virtually </w:t>
      </w:r>
      <w:r w:rsidR="006819AB">
        <w:t>202</w:t>
      </w:r>
      <w:r w:rsidR="00EC2B41">
        <w:t>2-0</w:t>
      </w:r>
      <w:r w:rsidR="00574802">
        <w:t>5</w:t>
      </w:r>
      <w:r w:rsidR="00EC2B41">
        <w:t>-</w:t>
      </w:r>
      <w:r w:rsidR="00574802">
        <w:t>13</w:t>
      </w:r>
      <w:r w:rsidR="00EC2B41">
        <w:t>,</w:t>
      </w:r>
      <w:r w:rsidR="002324B8">
        <w:t xml:space="preserve"> 14:00 – 16:00 UTC</w:t>
      </w:r>
      <w:r>
        <w:t xml:space="preserve">. Documents related to the meeting are stored in CWE, in the </w:t>
      </w:r>
      <w:r w:rsidR="002324B8">
        <w:t>“</w:t>
      </w:r>
      <w:r>
        <w:t>Meet Materials/202</w:t>
      </w:r>
      <w:r w:rsidR="00EC2B41">
        <w:t>2</w:t>
      </w:r>
      <w:r>
        <w:t>/202</w:t>
      </w:r>
      <w:r w:rsidR="00EC2B41">
        <w:t>2</w:t>
      </w:r>
      <w:r>
        <w:t>-</w:t>
      </w:r>
      <w:r w:rsidR="00EC2B41">
        <w:t>0</w:t>
      </w:r>
      <w:r w:rsidR="00574802">
        <w:t>5</w:t>
      </w:r>
      <w:r w:rsidR="00EC2B41">
        <w:t>-</w:t>
      </w:r>
      <w:r w:rsidR="00574802">
        <w:t xml:space="preserve">13 Spring </w:t>
      </w:r>
      <w:r w:rsidR="00EC2B41">
        <w:t>meeting</w:t>
      </w:r>
      <w:r w:rsidR="002324B8">
        <w:t xml:space="preserve">” </w:t>
      </w:r>
      <w:r>
        <w:t>folder.</w:t>
      </w:r>
    </w:p>
    <w:p w:rsidR="00872977" w:rsidRDefault="004F4CC0" w:rsidP="00872977">
      <w:pPr>
        <w:pStyle w:val="Heading2"/>
      </w:pPr>
      <w:r>
        <w:t>Minutes</w:t>
      </w:r>
    </w:p>
    <w:p w:rsidR="00DF6A59" w:rsidRDefault="00872977" w:rsidP="00AF181B">
      <w:pPr>
        <w:pStyle w:val="Heading2"/>
      </w:pPr>
      <w:r>
        <w:t>Green Book</w:t>
      </w:r>
      <w:r w:rsidR="00DF6A59">
        <w:t xml:space="preserve"> status</w:t>
      </w:r>
    </w:p>
    <w:p w:rsidR="00CE3CC3" w:rsidRPr="00CE3CC3" w:rsidRDefault="00CE3CC3" w:rsidP="00CE3CC3">
      <w:pPr>
        <w:pStyle w:val="Heading3"/>
      </w:pPr>
      <w:r>
        <w:t>GPS</w:t>
      </w:r>
    </w:p>
    <w:p w:rsidR="004F6556" w:rsidRDefault="004F6556" w:rsidP="004F6556">
      <w:r>
        <w:t>Beau Blanding presented new material in the GPS section, relating to future evolutions of GPS satellites</w:t>
      </w:r>
      <w:r w:rsidR="007928FC">
        <w:t xml:space="preserve"> and </w:t>
      </w:r>
      <w:proofErr w:type="spellStart"/>
      <w:r w:rsidR="007928FC">
        <w:t>LuGRE</w:t>
      </w:r>
      <w:proofErr w:type="spellEnd"/>
      <w:r w:rsidR="007928FC">
        <w:t xml:space="preserve">, and updates. </w:t>
      </w:r>
      <w:r w:rsidR="00EA3350">
        <w:t>This will be provided after a clearance process</w:t>
      </w:r>
      <w:r w:rsidR="00DF6A59">
        <w:t>, and Jon will incorporate into the Green book.</w:t>
      </w:r>
    </w:p>
    <w:p w:rsidR="007928FC" w:rsidRDefault="00DF6A59" w:rsidP="004F6556">
      <w:r>
        <w:t xml:space="preserve">The </w:t>
      </w:r>
      <w:r w:rsidR="007928FC">
        <w:t>Moon and Mars sections</w:t>
      </w:r>
      <w:r>
        <w:t xml:space="preserve">, currently present in the GPS section </w:t>
      </w:r>
      <w:r w:rsidR="007928FC">
        <w:t>are useful</w:t>
      </w:r>
      <w:r>
        <w:t xml:space="preserve"> but not really related specifically to GPS</w:t>
      </w:r>
      <w:r w:rsidR="007928FC">
        <w:t>. These may be moved to a section outside of the GPS section.</w:t>
      </w:r>
    </w:p>
    <w:p w:rsidR="00AF181B" w:rsidRDefault="00EA3350" w:rsidP="00AF181B">
      <w:r>
        <w:t>Beau also provided a new section on science activities, section 7.1. It is available for review. Jon will incorporate the references and fix figure labeling.</w:t>
      </w:r>
    </w:p>
    <w:p w:rsidR="00CE3CC3" w:rsidRDefault="00CE3CC3" w:rsidP="00CE3CC3">
      <w:pPr>
        <w:pStyle w:val="Heading3"/>
      </w:pPr>
      <w:r>
        <w:lastRenderedPageBreak/>
        <w:t>Latest draft Green Book edits</w:t>
      </w:r>
    </w:p>
    <w:p w:rsidR="00AF181B" w:rsidRDefault="00AF181B" w:rsidP="00AF181B">
      <w:r>
        <w:t>J</w:t>
      </w:r>
      <w:r>
        <w:t>on Hamkins</w:t>
      </w:r>
      <w:r>
        <w:t xml:space="preserve"> reviewed major edits to the draft Green Book since the last time we me:</w:t>
      </w:r>
    </w:p>
    <w:p w:rsidR="00AF181B" w:rsidRDefault="00AF181B" w:rsidP="00AF181B">
      <w:pPr>
        <w:pStyle w:val="ListParagraph"/>
        <w:numPr>
          <w:ilvl w:val="0"/>
          <w:numId w:val="21"/>
        </w:numPr>
      </w:pPr>
      <w:r>
        <w:t>Flagged all unused references</w:t>
      </w:r>
    </w:p>
    <w:p w:rsidR="00AF181B" w:rsidRDefault="00AF181B" w:rsidP="00AF181B">
      <w:pPr>
        <w:pStyle w:val="ListParagraph"/>
        <w:numPr>
          <w:ilvl w:val="0"/>
          <w:numId w:val="21"/>
        </w:numPr>
      </w:pPr>
      <w:r>
        <w:t>Deleted large block of duplicate references, being careful to handle properly in text</w:t>
      </w:r>
    </w:p>
    <w:p w:rsidR="00AF181B" w:rsidRDefault="00AF181B" w:rsidP="00AF181B">
      <w:pPr>
        <w:pStyle w:val="ListParagraph"/>
        <w:numPr>
          <w:ilvl w:val="0"/>
          <w:numId w:val="21"/>
        </w:numPr>
      </w:pPr>
      <w:r>
        <w:t>Identified all unused references and deleted them</w:t>
      </w:r>
    </w:p>
    <w:p w:rsidR="00AF181B" w:rsidRDefault="00AF181B" w:rsidP="004F6556">
      <w:r>
        <w:t>In addition, the time synchronization input from Lee Pitts was recognized as useful in describing many of the fundamental concepts relating to time management. These inputs did not relate specifically to time synchronization, and the material was reorganized and distributed throughout other sections, primarily in the overview section that defines key terms and concepts.</w:t>
      </w:r>
    </w:p>
    <w:p w:rsidR="00DF6A59" w:rsidRDefault="00AF181B" w:rsidP="004F6556">
      <w:r>
        <w:t xml:space="preserve">The working group discussed </w:t>
      </w:r>
      <w:r w:rsidR="00DF6A59">
        <w:t>accuracy, stability, and resolution.</w:t>
      </w:r>
    </w:p>
    <w:p w:rsidR="002E3871" w:rsidRDefault="008E3CC1" w:rsidP="004F6556">
      <w:proofErr w:type="spellStart"/>
      <w:r>
        <w:t>Sinda</w:t>
      </w:r>
      <w:proofErr w:type="spellEnd"/>
      <w:r>
        <w:t xml:space="preserve"> </w:t>
      </w:r>
      <w:proofErr w:type="spellStart"/>
      <w:r>
        <w:t>Mejri</w:t>
      </w:r>
      <w:proofErr w:type="spellEnd"/>
      <w:r>
        <w:t xml:space="preserve"> took an action to </w:t>
      </w:r>
      <w:r w:rsidR="002E3871">
        <w:t>add material in section 2.1 to describe precision, accuracy, stability. Add resolution.</w:t>
      </w:r>
    </w:p>
    <w:p w:rsidR="006C3696" w:rsidRDefault="006C3696" w:rsidP="004F6556">
      <w:proofErr w:type="spellStart"/>
      <w:r>
        <w:t>Sinda</w:t>
      </w:r>
      <w:proofErr w:type="spellEnd"/>
      <w:r>
        <w:t xml:space="preserve"> </w:t>
      </w:r>
      <w:proofErr w:type="spellStart"/>
      <w:r w:rsidR="008E3CC1">
        <w:t>Mejri</w:t>
      </w:r>
      <w:proofErr w:type="spellEnd"/>
      <w:r w:rsidR="008E3CC1">
        <w:t xml:space="preserve"> took an action </w:t>
      </w:r>
      <w:r>
        <w:t>to provide Section 3.7 describing the national and international organization</w:t>
      </w:r>
      <w:r w:rsidR="00DF6A59">
        <w:t>s.</w:t>
      </w:r>
    </w:p>
    <w:p w:rsidR="00AC655C" w:rsidRDefault="00AC655C" w:rsidP="004F6556">
      <w:r>
        <w:t>Action: Add examples or application for time synchronization. Remote clock synchronization for ground segment for Galileo</w:t>
      </w:r>
      <w:r w:rsidR="00DF6A59">
        <w:t>, for example.</w:t>
      </w:r>
    </w:p>
    <w:p w:rsidR="00AC655C" w:rsidRDefault="00AC655C" w:rsidP="004F6556">
      <w:r>
        <w:t>Discussion of time synchronization. Take gradient of the clocks into account.</w:t>
      </w:r>
    </w:p>
    <w:p w:rsidR="005934A3" w:rsidRDefault="00AC655C" w:rsidP="004F6556">
      <w:r>
        <w:t>Christian. There are differences in the clock count per second, when you do an estimation of the time correlation packets.</w:t>
      </w:r>
      <w:r w:rsidR="005934A3">
        <w:t xml:space="preserve"> LEO orbit</w:t>
      </w:r>
      <w:r w:rsidR="008E3CC1">
        <w:t>ers</w:t>
      </w:r>
      <w:r w:rsidR="005934A3">
        <w:t xml:space="preserve"> take time from GPS. GEO satellites do measurements of the ground clock vs. onboard clock. And we have two different approaches to do this measurement and determine the gradient. Should mention oscillator.</w:t>
      </w:r>
    </w:p>
    <w:p w:rsidR="004D748A" w:rsidRDefault="00AF181B" w:rsidP="004D748A">
      <w:pPr>
        <w:pStyle w:val="Heading2"/>
      </w:pPr>
      <w:r>
        <w:t>Working Group charter update: discussion of what s</w:t>
      </w:r>
      <w:r w:rsidR="004D748A">
        <w:t>tandard</w:t>
      </w:r>
      <w:r>
        <w:t>s to develop</w:t>
      </w:r>
    </w:p>
    <w:p w:rsidR="008E3CC1" w:rsidRDefault="008E3CC1" w:rsidP="004D748A">
      <w:r>
        <w:t>The working group discussed next steps after the green book</w:t>
      </w:r>
      <w:r w:rsidR="00AF181B">
        <w:t>,</w:t>
      </w:r>
      <w:r>
        <w:t xml:space="preserve"> relating to what is appropriate to standardize. Jon Hamkins presented an overview of the IOAG service catalog #2, which suggests the following structure for </w:t>
      </w:r>
      <w:r w:rsidR="00AF181B">
        <w:t xml:space="preserve">time management </w:t>
      </w:r>
      <w:r>
        <w:t>standards:</w:t>
      </w:r>
    </w:p>
    <w:p w:rsidR="008E3CC1" w:rsidRDefault="008E3CC1" w:rsidP="008E3CC1">
      <w:pPr>
        <w:pStyle w:val="ListParagraph"/>
        <w:numPr>
          <w:ilvl w:val="0"/>
          <w:numId w:val="22"/>
        </w:numPr>
      </w:pPr>
      <w:r>
        <w:t>Blue Book for time transfer</w:t>
      </w:r>
    </w:p>
    <w:p w:rsidR="008E3CC1" w:rsidRDefault="008E3CC1" w:rsidP="008E3CC1">
      <w:pPr>
        <w:pStyle w:val="ListParagraph"/>
        <w:numPr>
          <w:ilvl w:val="0"/>
          <w:numId w:val="22"/>
        </w:numPr>
      </w:pPr>
      <w:r>
        <w:t>Magenta Book for time correlation</w:t>
      </w:r>
      <w:r w:rsidR="008D222A">
        <w:t xml:space="preserve"> (IOAG calls it clock correlation)</w:t>
      </w:r>
    </w:p>
    <w:p w:rsidR="008E3CC1" w:rsidRDefault="008E3CC1" w:rsidP="008E3CC1">
      <w:pPr>
        <w:pStyle w:val="ListParagraph"/>
        <w:numPr>
          <w:ilvl w:val="0"/>
          <w:numId w:val="22"/>
        </w:numPr>
      </w:pPr>
      <w:r>
        <w:t>Blue Book for Time Synchronization</w:t>
      </w:r>
    </w:p>
    <w:p w:rsidR="008E3CC1" w:rsidRDefault="008E3CC1" w:rsidP="008E3CC1">
      <w:r>
        <w:t>The working group agreed that, hierarchically, time transfer is needed for time correlation, which in turn is needed for time synchronization.</w:t>
      </w:r>
    </w:p>
    <w:p w:rsidR="008E3CC1" w:rsidRDefault="008E3CC1" w:rsidP="008E3CC1">
      <w:r>
        <w:t>Jon Hamkins suggested that time transfer and time correlation be standardized in one Blue Book</w:t>
      </w:r>
      <w:proofErr w:type="gramStart"/>
      <w:r>
        <w:t xml:space="preserve">. </w:t>
      </w:r>
      <w:proofErr w:type="spellStart"/>
      <w:proofErr w:type="gramEnd"/>
      <w:r w:rsidR="008D222A">
        <w:t>Sinda</w:t>
      </w:r>
      <w:proofErr w:type="spellEnd"/>
      <w:r w:rsidR="008D222A">
        <w:t xml:space="preserve"> </w:t>
      </w:r>
      <w:proofErr w:type="spellStart"/>
      <w:r w:rsidR="008D222A">
        <w:t>Mejri</w:t>
      </w:r>
      <w:proofErr w:type="spellEnd"/>
      <w:r w:rsidR="008D222A">
        <w:t xml:space="preserve"> and Stan Cooper agreed that this </w:t>
      </w:r>
      <w:r w:rsidR="008D222A">
        <w:t xml:space="preserve">is a promising approach. </w:t>
      </w:r>
      <w:proofErr w:type="spellStart"/>
      <w:r w:rsidR="008D222A">
        <w:t>Yujio</w:t>
      </w:r>
      <w:proofErr w:type="spellEnd"/>
      <w:r w:rsidR="008D222A">
        <w:t xml:space="preserve"> Yamamoto expressed the need for these functions, in order to maintain proper measurement timing for onboard instruments. </w:t>
      </w:r>
      <w:r>
        <w:t>One section relating to time transfer could d</w:t>
      </w:r>
      <w:r w:rsidR="00AF181B">
        <w:t>escribe</w:t>
      </w:r>
      <w:r>
        <w:t xml:space="preserve"> all of the signaling needed relating to timestamping and forming time packets for transfer, as well how ranging signaling can be used for time transfer, including PN ranging, GMSK+PN ranging, telemetry ranging, and optical ranging signals. </w:t>
      </w:r>
      <w:r w:rsidR="008D222A">
        <w:t>Another section could describe standardized algorithms used in time correlation and a standard format for expressing the time correlation tables for exchange between agencies.</w:t>
      </w:r>
    </w:p>
    <w:p w:rsidR="008D222A" w:rsidRDefault="008D222A" w:rsidP="008E3CC1">
      <w:r>
        <w:lastRenderedPageBreak/>
        <w:t xml:space="preserve">Christian </w:t>
      </w:r>
      <w:proofErr w:type="spellStart"/>
      <w:r>
        <w:t>Stangl</w:t>
      </w:r>
      <w:proofErr w:type="spellEnd"/>
      <w:r>
        <w:t xml:space="preserve"> began outlining the information that would need to be in such a book, including the time correlation pairs on the ground, using certain data </w:t>
      </w:r>
      <w:r w:rsidR="00AF181B">
        <w:t>structures relating to Earth time and spacecraft time. Some current ways that DLR and ESA do things may impact what can be agreed to for a standard. The working group also discussed frequency considerations (RF, optical).</w:t>
      </w:r>
    </w:p>
    <w:p w:rsidR="00872977" w:rsidRPr="00872977" w:rsidRDefault="008D222A" w:rsidP="00872977">
      <w:r>
        <w:t>The need for standardizing time synchronization was not yet established.</w:t>
      </w:r>
    </w:p>
    <w:p w:rsidR="002868CC" w:rsidRDefault="002868CC" w:rsidP="002868CC">
      <w:pPr>
        <w:pStyle w:val="Heading2"/>
      </w:pPr>
      <w:r>
        <w:t>Review of action item</w:t>
      </w:r>
      <w:r w:rsidR="00F01988">
        <w:t>s</w:t>
      </w:r>
    </w:p>
    <w:p w:rsidR="008E1814" w:rsidRDefault="00AF181B">
      <w:r>
        <w:t xml:space="preserve">There was not sufficient time at the meeting to review the action items. </w:t>
      </w:r>
      <w:r w:rsidR="00CE3CC3">
        <w:t>Jon Hamkins updated these as best as he could based on known information. Old, closed items were removed from the list. New action items were added. Existing status was updated when known.</w:t>
      </w:r>
    </w:p>
    <w:p w:rsidR="00332DDC" w:rsidRDefault="00332DDC" w:rsidP="005F1099">
      <w:pPr>
        <w:pStyle w:val="Heading2"/>
      </w:pPr>
      <w:r>
        <w:t>Action</w:t>
      </w:r>
      <w:r w:rsidR="007E1B5F">
        <w:t xml:space="preserve"> items</w:t>
      </w:r>
    </w:p>
    <w:p w:rsidR="00415EF2" w:rsidRDefault="00CF290C" w:rsidP="00CF290C">
      <w:bookmarkStart w:id="0" w:name="_Hlk86210885"/>
      <w:r>
        <w:t>Open action items are listed in the table below.</w:t>
      </w:r>
    </w:p>
    <w:tbl>
      <w:tblPr>
        <w:tblStyle w:val="TableGrid"/>
        <w:tblW w:w="0" w:type="auto"/>
        <w:tblLook w:val="04A0" w:firstRow="1" w:lastRow="0" w:firstColumn="1" w:lastColumn="0" w:noHBand="0" w:noVBand="1"/>
      </w:tblPr>
      <w:tblGrid>
        <w:gridCol w:w="1165"/>
        <w:gridCol w:w="2610"/>
        <w:gridCol w:w="1980"/>
        <w:gridCol w:w="1725"/>
        <w:gridCol w:w="1870"/>
      </w:tblGrid>
      <w:tr w:rsidR="00E270E0" w:rsidTr="0095167A">
        <w:tc>
          <w:tcPr>
            <w:tcW w:w="1165" w:type="dxa"/>
          </w:tcPr>
          <w:p w:rsidR="00E270E0" w:rsidRPr="00CF290C" w:rsidRDefault="00E270E0" w:rsidP="0095167A">
            <w:pPr>
              <w:jc w:val="center"/>
              <w:rPr>
                <w:b/>
              </w:rPr>
            </w:pPr>
            <w:r w:rsidRPr="00CF290C">
              <w:rPr>
                <w:b/>
              </w:rPr>
              <w:t>AI#</w:t>
            </w:r>
          </w:p>
        </w:tc>
        <w:tc>
          <w:tcPr>
            <w:tcW w:w="2610" w:type="dxa"/>
          </w:tcPr>
          <w:p w:rsidR="00E270E0" w:rsidRPr="00CF290C" w:rsidRDefault="00E270E0" w:rsidP="0095167A">
            <w:pPr>
              <w:jc w:val="center"/>
              <w:rPr>
                <w:b/>
              </w:rPr>
            </w:pPr>
            <w:r w:rsidRPr="00CF290C">
              <w:rPr>
                <w:b/>
              </w:rPr>
              <w:t>Action</w:t>
            </w:r>
          </w:p>
        </w:tc>
        <w:tc>
          <w:tcPr>
            <w:tcW w:w="1980" w:type="dxa"/>
          </w:tcPr>
          <w:p w:rsidR="00E270E0" w:rsidRPr="00CF290C" w:rsidRDefault="00E270E0" w:rsidP="0095167A">
            <w:pPr>
              <w:jc w:val="center"/>
              <w:rPr>
                <w:b/>
              </w:rPr>
            </w:pPr>
            <w:r w:rsidRPr="00CF290C">
              <w:rPr>
                <w:b/>
              </w:rPr>
              <w:t>A</w:t>
            </w:r>
            <w:r>
              <w:rPr>
                <w:b/>
              </w:rPr>
              <w:t>ssignee</w:t>
            </w:r>
          </w:p>
        </w:tc>
        <w:tc>
          <w:tcPr>
            <w:tcW w:w="1725" w:type="dxa"/>
          </w:tcPr>
          <w:p w:rsidR="00E270E0" w:rsidRPr="00CF290C" w:rsidRDefault="00E270E0" w:rsidP="0095167A">
            <w:pPr>
              <w:jc w:val="center"/>
              <w:rPr>
                <w:b/>
              </w:rPr>
            </w:pPr>
            <w:r w:rsidRPr="00CF290C">
              <w:rPr>
                <w:b/>
              </w:rPr>
              <w:t>Due Date</w:t>
            </w:r>
          </w:p>
        </w:tc>
        <w:tc>
          <w:tcPr>
            <w:tcW w:w="1870" w:type="dxa"/>
          </w:tcPr>
          <w:p w:rsidR="00E270E0" w:rsidRPr="00CF290C" w:rsidRDefault="00E270E0" w:rsidP="0095167A">
            <w:pPr>
              <w:jc w:val="center"/>
              <w:rPr>
                <w:b/>
              </w:rPr>
            </w:pPr>
            <w:r w:rsidRPr="00CF290C">
              <w:rPr>
                <w:b/>
              </w:rPr>
              <w:t>Status</w:t>
            </w:r>
          </w:p>
        </w:tc>
      </w:tr>
      <w:tr w:rsidR="00E270E0" w:rsidTr="0095167A">
        <w:tc>
          <w:tcPr>
            <w:tcW w:w="1165" w:type="dxa"/>
          </w:tcPr>
          <w:p w:rsidR="00E270E0" w:rsidRDefault="00E270E0" w:rsidP="0095167A">
            <w:r>
              <w:t>AI_20_03</w:t>
            </w:r>
          </w:p>
        </w:tc>
        <w:tc>
          <w:tcPr>
            <w:tcW w:w="2610" w:type="dxa"/>
          </w:tcPr>
          <w:p w:rsidR="00E270E0" w:rsidRDefault="00E270E0" w:rsidP="0095167A">
            <w:r>
              <w:t>Complete mission survey</w:t>
            </w:r>
          </w:p>
        </w:tc>
        <w:tc>
          <w:tcPr>
            <w:tcW w:w="1980" w:type="dxa"/>
          </w:tcPr>
          <w:p w:rsidR="00E270E0" w:rsidRPr="0015391F" w:rsidRDefault="00E270E0" w:rsidP="0095167A">
            <w:pPr>
              <w:rPr>
                <w:strike/>
              </w:rPr>
            </w:pPr>
            <w:r>
              <w:t>NA</w:t>
            </w:r>
            <w:r w:rsidRPr="0015391F">
              <w:rPr>
                <w:strike/>
              </w:rPr>
              <w:t xml:space="preserve">SA: </w:t>
            </w:r>
            <w:proofErr w:type="spellStart"/>
            <w:r w:rsidRPr="0015391F">
              <w:rPr>
                <w:strike/>
              </w:rPr>
              <w:t>Carlyn</w:t>
            </w:r>
            <w:proofErr w:type="spellEnd"/>
          </w:p>
          <w:p w:rsidR="00E270E0" w:rsidRDefault="00E270E0" w:rsidP="0095167A">
            <w:r w:rsidRPr="005F47CC">
              <w:rPr>
                <w:strike/>
              </w:rPr>
              <w:t xml:space="preserve">ESA: </w:t>
            </w:r>
            <w:proofErr w:type="spellStart"/>
            <w:r w:rsidRPr="005F47CC">
              <w:rPr>
                <w:strike/>
              </w:rPr>
              <w:t>Sinda</w:t>
            </w:r>
            <w:proofErr w:type="spellEnd"/>
            <w:r>
              <w:rPr>
                <w:strike/>
              </w:rPr>
              <w:t xml:space="preserve"> (in spring meeting folder)</w:t>
            </w:r>
            <w:r>
              <w:br/>
              <w:t>JAXA: Yukio (1 more coming)</w:t>
            </w:r>
          </w:p>
        </w:tc>
        <w:tc>
          <w:tcPr>
            <w:tcW w:w="1725" w:type="dxa"/>
          </w:tcPr>
          <w:p w:rsidR="00E270E0" w:rsidRDefault="00E270E0" w:rsidP="0095167A">
            <w:pPr>
              <w:rPr>
                <w:strike/>
              </w:rPr>
            </w:pPr>
            <w:r w:rsidRPr="0015391F">
              <w:rPr>
                <w:strike/>
              </w:rPr>
              <w:t>May 2021</w:t>
            </w:r>
            <w:r>
              <w:br/>
            </w:r>
            <w:r w:rsidRPr="00F8622F">
              <w:rPr>
                <w:strike/>
              </w:rPr>
              <w:t>Sep 2021</w:t>
            </w:r>
            <w:r>
              <w:br/>
            </w:r>
            <w:r w:rsidRPr="00CE3CC3">
              <w:rPr>
                <w:strike/>
              </w:rPr>
              <w:t>Dec 2021</w:t>
            </w:r>
          </w:p>
          <w:p w:rsidR="00CE3CC3" w:rsidRDefault="00CE3CC3" w:rsidP="0095167A">
            <w:r>
              <w:t>June 2022</w:t>
            </w:r>
          </w:p>
        </w:tc>
        <w:tc>
          <w:tcPr>
            <w:tcW w:w="1870" w:type="dxa"/>
          </w:tcPr>
          <w:p w:rsidR="00E270E0" w:rsidRDefault="00E270E0" w:rsidP="0095167A">
            <w:r>
              <w:t>Open</w:t>
            </w:r>
            <w:r>
              <w:br/>
              <w:t>NASA:  closed</w:t>
            </w:r>
            <w:r>
              <w:br/>
              <w:t>DLR: closed</w:t>
            </w:r>
          </w:p>
        </w:tc>
      </w:tr>
      <w:tr w:rsidR="00E270E0" w:rsidTr="0095167A">
        <w:tc>
          <w:tcPr>
            <w:tcW w:w="1165" w:type="dxa"/>
          </w:tcPr>
          <w:p w:rsidR="00E270E0" w:rsidRPr="00CE3CC3" w:rsidRDefault="00E270E0" w:rsidP="0095167A">
            <w:pPr>
              <w:rPr>
                <w:strike/>
              </w:rPr>
            </w:pPr>
            <w:r w:rsidRPr="00CE3CC3">
              <w:rPr>
                <w:strike/>
              </w:rPr>
              <w:t>AI_21_01</w:t>
            </w:r>
          </w:p>
        </w:tc>
        <w:tc>
          <w:tcPr>
            <w:tcW w:w="2610" w:type="dxa"/>
          </w:tcPr>
          <w:p w:rsidR="00E270E0" w:rsidRPr="00CE3CC3" w:rsidRDefault="00E270E0" w:rsidP="0095167A">
            <w:pPr>
              <w:rPr>
                <w:rFonts w:eastAsia="Times New Roman" w:cstheme="minorHAnsi"/>
                <w:strike/>
              </w:rPr>
            </w:pPr>
            <w:r w:rsidRPr="00CE3CC3">
              <w:rPr>
                <w:rFonts w:eastAsia="Times New Roman" w:cstheme="minorHAnsi"/>
                <w:strike/>
              </w:rPr>
              <w:t>Prepare Green Book draft for initial WG review</w:t>
            </w:r>
          </w:p>
        </w:tc>
        <w:tc>
          <w:tcPr>
            <w:tcW w:w="1980" w:type="dxa"/>
          </w:tcPr>
          <w:p w:rsidR="00E270E0" w:rsidRPr="00CE3CC3" w:rsidRDefault="00E270E0" w:rsidP="0095167A">
            <w:pPr>
              <w:rPr>
                <w:strike/>
              </w:rPr>
            </w:pPr>
            <w:r w:rsidRPr="00CE3CC3">
              <w:rPr>
                <w:strike/>
              </w:rPr>
              <w:t>Jon Hamkins</w:t>
            </w:r>
          </w:p>
        </w:tc>
        <w:tc>
          <w:tcPr>
            <w:tcW w:w="1725" w:type="dxa"/>
          </w:tcPr>
          <w:p w:rsidR="00E270E0" w:rsidRPr="00CE3CC3" w:rsidRDefault="00E270E0" w:rsidP="0095167A">
            <w:pPr>
              <w:rPr>
                <w:strike/>
              </w:rPr>
            </w:pPr>
            <w:r w:rsidRPr="00CE3CC3">
              <w:rPr>
                <w:strike/>
              </w:rPr>
              <w:t xml:space="preserve">March 2021 </w:t>
            </w:r>
          </w:p>
          <w:p w:rsidR="00E270E0" w:rsidRPr="00CE3CC3" w:rsidRDefault="00E270E0" w:rsidP="0095167A">
            <w:pPr>
              <w:rPr>
                <w:strike/>
              </w:rPr>
            </w:pPr>
            <w:r w:rsidRPr="00CE3CC3">
              <w:rPr>
                <w:strike/>
              </w:rPr>
              <w:t>Oct 2021</w:t>
            </w:r>
          </w:p>
          <w:p w:rsidR="00E270E0" w:rsidRPr="00CE3CC3" w:rsidRDefault="00C13F82" w:rsidP="0095167A">
            <w:pPr>
              <w:rPr>
                <w:strike/>
              </w:rPr>
            </w:pPr>
            <w:r w:rsidRPr="00CE3CC3">
              <w:rPr>
                <w:strike/>
              </w:rPr>
              <w:t>May</w:t>
            </w:r>
            <w:r w:rsidR="00E270E0" w:rsidRPr="00CE3CC3">
              <w:rPr>
                <w:strike/>
              </w:rPr>
              <w:t xml:space="preserve"> 202</w:t>
            </w:r>
            <w:r w:rsidRPr="00CE3CC3">
              <w:rPr>
                <w:strike/>
              </w:rPr>
              <w:t>2</w:t>
            </w:r>
          </w:p>
        </w:tc>
        <w:tc>
          <w:tcPr>
            <w:tcW w:w="1870" w:type="dxa"/>
          </w:tcPr>
          <w:p w:rsidR="00E270E0" w:rsidRPr="00CE3CC3" w:rsidRDefault="00E270E0" w:rsidP="0095167A">
            <w:pPr>
              <w:rPr>
                <w:strike/>
              </w:rPr>
            </w:pPr>
            <w:r w:rsidRPr="00CE3CC3">
              <w:rPr>
                <w:strike/>
              </w:rPr>
              <w:t>Open. Section 5-6 left to do.</w:t>
            </w:r>
          </w:p>
          <w:p w:rsidR="00CE3CC3" w:rsidRPr="00CE3CC3" w:rsidRDefault="00CE3CC3" w:rsidP="0095167A">
            <w:r w:rsidRPr="00CE3CC3">
              <w:t>Closed: May 2022</w:t>
            </w:r>
          </w:p>
        </w:tc>
      </w:tr>
      <w:tr w:rsidR="00E270E0" w:rsidTr="0095167A">
        <w:tc>
          <w:tcPr>
            <w:tcW w:w="1165" w:type="dxa"/>
          </w:tcPr>
          <w:p w:rsidR="00E270E0" w:rsidRPr="00CE3CC3" w:rsidRDefault="00E270E0" w:rsidP="0095167A">
            <w:pPr>
              <w:rPr>
                <w:strike/>
              </w:rPr>
            </w:pPr>
            <w:r w:rsidRPr="00CE3CC3">
              <w:rPr>
                <w:strike/>
              </w:rPr>
              <w:t>AI_21_02</w:t>
            </w:r>
          </w:p>
        </w:tc>
        <w:tc>
          <w:tcPr>
            <w:tcW w:w="2610" w:type="dxa"/>
          </w:tcPr>
          <w:p w:rsidR="00E270E0" w:rsidRPr="00CE3CC3" w:rsidRDefault="00E270E0" w:rsidP="0095167A">
            <w:pPr>
              <w:rPr>
                <w:rFonts w:eastAsia="Times New Roman" w:cstheme="minorHAnsi"/>
                <w:strike/>
              </w:rPr>
            </w:pPr>
            <w:r w:rsidRPr="00CE3CC3">
              <w:rPr>
                <w:rFonts w:eastAsia="Times New Roman" w:cstheme="minorHAnsi"/>
                <w:strike/>
              </w:rPr>
              <w:t>Draft section on BEIDOU (section 4.4)</w:t>
            </w:r>
          </w:p>
        </w:tc>
        <w:tc>
          <w:tcPr>
            <w:tcW w:w="1980" w:type="dxa"/>
          </w:tcPr>
          <w:p w:rsidR="00E270E0" w:rsidRPr="00CE3CC3" w:rsidRDefault="00E270E0" w:rsidP="0095167A">
            <w:pPr>
              <w:rPr>
                <w:strike/>
              </w:rPr>
            </w:pPr>
            <w:proofErr w:type="spellStart"/>
            <w:r w:rsidRPr="00CE3CC3">
              <w:rPr>
                <w:strike/>
              </w:rPr>
              <w:t>Sinda</w:t>
            </w:r>
            <w:proofErr w:type="spellEnd"/>
            <w:r w:rsidRPr="00CE3CC3">
              <w:rPr>
                <w:strike/>
              </w:rPr>
              <w:t xml:space="preserve"> </w:t>
            </w:r>
            <w:proofErr w:type="spellStart"/>
            <w:r w:rsidRPr="00CE3CC3">
              <w:rPr>
                <w:strike/>
              </w:rPr>
              <w:t>Mejri</w:t>
            </w:r>
            <w:proofErr w:type="spellEnd"/>
          </w:p>
        </w:tc>
        <w:tc>
          <w:tcPr>
            <w:tcW w:w="1725" w:type="dxa"/>
          </w:tcPr>
          <w:p w:rsidR="00E270E0" w:rsidRPr="00CE3CC3" w:rsidRDefault="00E270E0" w:rsidP="0095167A">
            <w:pPr>
              <w:rPr>
                <w:strike/>
              </w:rPr>
            </w:pPr>
            <w:r w:rsidRPr="00CE3CC3">
              <w:rPr>
                <w:strike/>
              </w:rPr>
              <w:t>March 2021</w:t>
            </w:r>
          </w:p>
          <w:p w:rsidR="00E270E0" w:rsidRPr="00CE3CC3" w:rsidRDefault="00E270E0" w:rsidP="0095167A">
            <w:pPr>
              <w:rPr>
                <w:strike/>
              </w:rPr>
            </w:pPr>
            <w:r w:rsidRPr="00CE3CC3">
              <w:rPr>
                <w:strike/>
              </w:rPr>
              <w:t>June 2021</w:t>
            </w:r>
          </w:p>
          <w:p w:rsidR="00E270E0" w:rsidRPr="00CE3CC3" w:rsidRDefault="00C13F82" w:rsidP="0095167A">
            <w:pPr>
              <w:rPr>
                <w:strike/>
              </w:rPr>
            </w:pPr>
            <w:r w:rsidRPr="00CE3CC3">
              <w:rPr>
                <w:strike/>
              </w:rPr>
              <w:t>May</w:t>
            </w:r>
            <w:r w:rsidR="00E270E0" w:rsidRPr="00CE3CC3">
              <w:rPr>
                <w:strike/>
              </w:rPr>
              <w:t xml:space="preserve"> 202</w:t>
            </w:r>
            <w:r w:rsidRPr="00CE3CC3">
              <w:rPr>
                <w:strike/>
              </w:rPr>
              <w:t>2</w:t>
            </w:r>
          </w:p>
          <w:p w:rsidR="00E270E0" w:rsidRPr="00CE3CC3" w:rsidRDefault="00E270E0" w:rsidP="0095167A">
            <w:pPr>
              <w:rPr>
                <w:strike/>
              </w:rPr>
            </w:pPr>
          </w:p>
        </w:tc>
        <w:tc>
          <w:tcPr>
            <w:tcW w:w="1870" w:type="dxa"/>
          </w:tcPr>
          <w:p w:rsidR="00E270E0" w:rsidRPr="00CE3CC3" w:rsidRDefault="00E270E0" w:rsidP="0095167A">
            <w:pPr>
              <w:rPr>
                <w:strike/>
              </w:rPr>
            </w:pPr>
            <w:r w:rsidRPr="00CE3CC3">
              <w:rPr>
                <w:strike/>
              </w:rPr>
              <w:t>Open.</w:t>
            </w:r>
          </w:p>
          <w:p w:rsidR="00E270E0" w:rsidRPr="00CE3CC3" w:rsidRDefault="00E270E0" w:rsidP="0095167A">
            <w:pPr>
              <w:rPr>
                <w:strike/>
              </w:rPr>
            </w:pPr>
            <w:r w:rsidRPr="00CE3CC3">
              <w:rPr>
                <w:strike/>
              </w:rPr>
              <w:t>Nan Pei and Lan Lu will provide this section.</w:t>
            </w:r>
          </w:p>
          <w:p w:rsidR="00CE3CC3" w:rsidRDefault="00CE3CC3" w:rsidP="0095167A">
            <w:r>
              <w:t>Closed, May 2022.</w:t>
            </w:r>
          </w:p>
        </w:tc>
      </w:tr>
      <w:tr w:rsidR="00E270E0" w:rsidTr="0095167A">
        <w:tc>
          <w:tcPr>
            <w:tcW w:w="1165" w:type="dxa"/>
          </w:tcPr>
          <w:p w:rsidR="00E270E0" w:rsidRDefault="00E270E0" w:rsidP="0095167A">
            <w:r>
              <w:t>AI_21_08</w:t>
            </w:r>
          </w:p>
        </w:tc>
        <w:tc>
          <w:tcPr>
            <w:tcW w:w="2610" w:type="dxa"/>
          </w:tcPr>
          <w:p w:rsidR="00E270E0" w:rsidRDefault="00E270E0" w:rsidP="0095167A">
            <w:pPr>
              <w:rPr>
                <w:rFonts w:eastAsia="Times New Roman" w:cstheme="minorHAnsi"/>
              </w:rPr>
            </w:pPr>
            <w:r>
              <w:rPr>
                <w:rFonts w:eastAsia="Times New Roman" w:cstheme="minorHAnsi"/>
              </w:rPr>
              <w:t>Write new section 4.1.2, “GPS Evolution”</w:t>
            </w:r>
            <w:bookmarkStart w:id="1" w:name="_GoBack"/>
            <w:bookmarkEnd w:id="1"/>
          </w:p>
        </w:tc>
        <w:tc>
          <w:tcPr>
            <w:tcW w:w="1980" w:type="dxa"/>
          </w:tcPr>
          <w:p w:rsidR="00E270E0" w:rsidRDefault="00E270E0" w:rsidP="0095167A">
            <w:r>
              <w:t>Beau Blanding</w:t>
            </w:r>
            <w:r w:rsidR="00CE3CC3">
              <w:t xml:space="preserve"> to provide.</w:t>
            </w:r>
          </w:p>
          <w:p w:rsidR="00CE3CC3" w:rsidRDefault="00CE3CC3" w:rsidP="0095167A">
            <w:r>
              <w:t>Jon Hamkins to incorporate and edit labels and references</w:t>
            </w:r>
          </w:p>
        </w:tc>
        <w:tc>
          <w:tcPr>
            <w:tcW w:w="1725" w:type="dxa"/>
          </w:tcPr>
          <w:p w:rsidR="00E270E0" w:rsidRPr="00344846" w:rsidRDefault="00E270E0" w:rsidP="0095167A">
            <w:pPr>
              <w:rPr>
                <w:strike/>
              </w:rPr>
            </w:pPr>
            <w:r w:rsidRPr="00344846">
              <w:rPr>
                <w:strike/>
              </w:rPr>
              <w:t>Sep 2021</w:t>
            </w:r>
          </w:p>
          <w:p w:rsidR="00E270E0" w:rsidRPr="00CE3CC3" w:rsidRDefault="00C13F82" w:rsidP="0095167A">
            <w:pPr>
              <w:rPr>
                <w:strike/>
              </w:rPr>
            </w:pPr>
            <w:r w:rsidRPr="00CE3CC3">
              <w:rPr>
                <w:strike/>
              </w:rPr>
              <w:t>May</w:t>
            </w:r>
            <w:r w:rsidR="00E270E0" w:rsidRPr="00CE3CC3">
              <w:rPr>
                <w:strike/>
              </w:rPr>
              <w:t xml:space="preserve"> 202</w:t>
            </w:r>
            <w:r w:rsidRPr="00CE3CC3">
              <w:rPr>
                <w:strike/>
              </w:rPr>
              <w:t>2</w:t>
            </w:r>
          </w:p>
          <w:p w:rsidR="00CE3CC3" w:rsidRPr="008D051E" w:rsidRDefault="00CE3CC3" w:rsidP="0095167A">
            <w:r>
              <w:t>June 2022</w:t>
            </w:r>
          </w:p>
        </w:tc>
        <w:tc>
          <w:tcPr>
            <w:tcW w:w="1870" w:type="dxa"/>
          </w:tcPr>
          <w:p w:rsidR="00E270E0" w:rsidRDefault="00E270E0" w:rsidP="0095167A">
            <w:r>
              <w:t>Open</w:t>
            </w:r>
            <w:r w:rsidR="00CE3CC3">
              <w:t>. Material complete, but awaiting clearance.</w:t>
            </w:r>
          </w:p>
        </w:tc>
      </w:tr>
      <w:tr w:rsidR="00654AB4" w:rsidTr="0095167A">
        <w:tc>
          <w:tcPr>
            <w:tcW w:w="1165" w:type="dxa"/>
          </w:tcPr>
          <w:p w:rsidR="00654AB4" w:rsidRPr="00CE3CC3" w:rsidRDefault="00654AB4" w:rsidP="0095167A">
            <w:pPr>
              <w:rPr>
                <w:strike/>
              </w:rPr>
            </w:pPr>
            <w:r w:rsidRPr="00CE3CC3">
              <w:rPr>
                <w:strike/>
              </w:rPr>
              <w:t>AI_21_09</w:t>
            </w:r>
          </w:p>
        </w:tc>
        <w:tc>
          <w:tcPr>
            <w:tcW w:w="2610" w:type="dxa"/>
          </w:tcPr>
          <w:p w:rsidR="00654AB4" w:rsidRPr="00CE3CC3" w:rsidRDefault="00654AB4" w:rsidP="0095167A">
            <w:pPr>
              <w:rPr>
                <w:rFonts w:eastAsia="Times New Roman" w:cstheme="minorHAnsi"/>
                <w:strike/>
              </w:rPr>
            </w:pPr>
            <w:r w:rsidRPr="00CE3CC3">
              <w:rPr>
                <w:rFonts w:eastAsia="Times New Roman" w:cstheme="minorHAnsi"/>
                <w:strike/>
              </w:rPr>
              <w:t>Edit Section 6, removing or moving material to other sections.</w:t>
            </w:r>
          </w:p>
        </w:tc>
        <w:tc>
          <w:tcPr>
            <w:tcW w:w="1980" w:type="dxa"/>
          </w:tcPr>
          <w:p w:rsidR="00654AB4" w:rsidRPr="00CE3CC3" w:rsidRDefault="00654AB4" w:rsidP="0095167A">
            <w:pPr>
              <w:rPr>
                <w:strike/>
              </w:rPr>
            </w:pPr>
            <w:r w:rsidRPr="00CE3CC3">
              <w:rPr>
                <w:strike/>
              </w:rPr>
              <w:t>Jon Hamkins</w:t>
            </w:r>
          </w:p>
        </w:tc>
        <w:tc>
          <w:tcPr>
            <w:tcW w:w="1725" w:type="dxa"/>
          </w:tcPr>
          <w:p w:rsidR="00654AB4" w:rsidRPr="00CE3CC3" w:rsidRDefault="00C13F82" w:rsidP="0095167A">
            <w:pPr>
              <w:rPr>
                <w:strike/>
              </w:rPr>
            </w:pPr>
            <w:r w:rsidRPr="00CE3CC3">
              <w:rPr>
                <w:strike/>
              </w:rPr>
              <w:t>May</w:t>
            </w:r>
            <w:r w:rsidR="00654AB4" w:rsidRPr="00CE3CC3">
              <w:rPr>
                <w:strike/>
              </w:rPr>
              <w:t xml:space="preserve"> 202</w:t>
            </w:r>
            <w:r w:rsidRPr="00CE3CC3">
              <w:rPr>
                <w:strike/>
              </w:rPr>
              <w:t>2</w:t>
            </w:r>
          </w:p>
        </w:tc>
        <w:tc>
          <w:tcPr>
            <w:tcW w:w="1870" w:type="dxa"/>
          </w:tcPr>
          <w:p w:rsidR="00654AB4" w:rsidRDefault="00CE3CC3" w:rsidP="0095167A">
            <w:r>
              <w:t>Closed May 2022</w:t>
            </w:r>
          </w:p>
        </w:tc>
      </w:tr>
      <w:tr w:rsidR="00CE3CC3" w:rsidTr="0095167A">
        <w:tc>
          <w:tcPr>
            <w:tcW w:w="1165" w:type="dxa"/>
          </w:tcPr>
          <w:p w:rsidR="00CE3CC3" w:rsidRPr="00CE3CC3" w:rsidRDefault="00CE3CC3" w:rsidP="0095167A">
            <w:r w:rsidRPr="00CE3CC3">
              <w:t>AI_22_01</w:t>
            </w:r>
          </w:p>
        </w:tc>
        <w:tc>
          <w:tcPr>
            <w:tcW w:w="2610" w:type="dxa"/>
          </w:tcPr>
          <w:p w:rsidR="00CE3CC3" w:rsidRPr="00CE3CC3" w:rsidRDefault="00CE3CC3" w:rsidP="0095167A">
            <w:r w:rsidRPr="00CE3CC3">
              <w:t>A</w:t>
            </w:r>
            <w:r w:rsidRPr="00CE3CC3">
              <w:t>dd material in section 2.1 to describe precision, accuracy, stability. Add resolution.</w:t>
            </w:r>
          </w:p>
        </w:tc>
        <w:tc>
          <w:tcPr>
            <w:tcW w:w="1980" w:type="dxa"/>
          </w:tcPr>
          <w:p w:rsidR="00CE3CC3" w:rsidRPr="00CE3CC3" w:rsidRDefault="00CE3CC3" w:rsidP="0095167A">
            <w:proofErr w:type="spellStart"/>
            <w:r>
              <w:t>Sinda</w:t>
            </w:r>
            <w:proofErr w:type="spellEnd"/>
            <w:r>
              <w:t xml:space="preserve"> </w:t>
            </w:r>
            <w:proofErr w:type="spellStart"/>
            <w:r>
              <w:t>Mejri</w:t>
            </w:r>
            <w:proofErr w:type="spellEnd"/>
          </w:p>
        </w:tc>
        <w:tc>
          <w:tcPr>
            <w:tcW w:w="1725" w:type="dxa"/>
          </w:tcPr>
          <w:p w:rsidR="00CE3CC3" w:rsidRPr="00CE3CC3" w:rsidRDefault="00CE3CC3" w:rsidP="0095167A">
            <w:r>
              <w:t>June 2022</w:t>
            </w:r>
          </w:p>
        </w:tc>
        <w:tc>
          <w:tcPr>
            <w:tcW w:w="1870" w:type="dxa"/>
          </w:tcPr>
          <w:p w:rsidR="00CE3CC3" w:rsidRPr="00CE3CC3" w:rsidRDefault="00CE3CC3" w:rsidP="0095167A">
            <w:r>
              <w:t>Open</w:t>
            </w:r>
          </w:p>
        </w:tc>
      </w:tr>
      <w:tr w:rsidR="00CE3CC3" w:rsidTr="0095167A">
        <w:tc>
          <w:tcPr>
            <w:tcW w:w="1165" w:type="dxa"/>
          </w:tcPr>
          <w:p w:rsidR="00CE3CC3" w:rsidRPr="00CE3CC3" w:rsidRDefault="00CE3CC3" w:rsidP="0095167A">
            <w:r>
              <w:t>AI_22_02</w:t>
            </w:r>
          </w:p>
        </w:tc>
        <w:tc>
          <w:tcPr>
            <w:tcW w:w="2610" w:type="dxa"/>
          </w:tcPr>
          <w:p w:rsidR="00CE3CC3" w:rsidRPr="00CE3CC3" w:rsidRDefault="00CE3CC3" w:rsidP="0095167A">
            <w:pPr>
              <w:rPr>
                <w:rFonts w:eastAsia="Times New Roman" w:cstheme="minorHAnsi"/>
              </w:rPr>
            </w:pPr>
            <w:r>
              <w:t>P</w:t>
            </w:r>
            <w:r>
              <w:t>rovide Section 3.7 describing the national and international organizations</w:t>
            </w:r>
          </w:p>
        </w:tc>
        <w:tc>
          <w:tcPr>
            <w:tcW w:w="1980" w:type="dxa"/>
          </w:tcPr>
          <w:p w:rsidR="00CE3CC3" w:rsidRPr="00CE3CC3" w:rsidRDefault="00CE3CC3" w:rsidP="0095167A">
            <w:proofErr w:type="spellStart"/>
            <w:r>
              <w:t>Sinda</w:t>
            </w:r>
            <w:proofErr w:type="spellEnd"/>
            <w:r>
              <w:t xml:space="preserve"> </w:t>
            </w:r>
            <w:proofErr w:type="spellStart"/>
            <w:r>
              <w:t>Mejri</w:t>
            </w:r>
            <w:proofErr w:type="spellEnd"/>
          </w:p>
        </w:tc>
        <w:tc>
          <w:tcPr>
            <w:tcW w:w="1725" w:type="dxa"/>
          </w:tcPr>
          <w:p w:rsidR="00CE3CC3" w:rsidRPr="00CE3CC3" w:rsidRDefault="00CE3CC3" w:rsidP="0095167A">
            <w:r>
              <w:t>June 2022</w:t>
            </w:r>
          </w:p>
        </w:tc>
        <w:tc>
          <w:tcPr>
            <w:tcW w:w="1870" w:type="dxa"/>
          </w:tcPr>
          <w:p w:rsidR="00CE3CC3" w:rsidRPr="00CE3CC3" w:rsidRDefault="00CE3CC3" w:rsidP="0095167A">
            <w:r>
              <w:t>Open</w:t>
            </w:r>
          </w:p>
        </w:tc>
      </w:tr>
      <w:bookmarkEnd w:id="0"/>
    </w:tbl>
    <w:p w:rsidR="00E270E0" w:rsidRDefault="00E270E0" w:rsidP="00CF290C"/>
    <w:sectPr w:rsidR="00E27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877"/>
    <w:multiLevelType w:val="hybridMultilevel"/>
    <w:tmpl w:val="4222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4BE"/>
    <w:multiLevelType w:val="hybridMultilevel"/>
    <w:tmpl w:val="3022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2AD9"/>
    <w:multiLevelType w:val="hybridMultilevel"/>
    <w:tmpl w:val="19E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6037D"/>
    <w:multiLevelType w:val="hybridMultilevel"/>
    <w:tmpl w:val="E718218A"/>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F6FAA"/>
    <w:multiLevelType w:val="hybridMultilevel"/>
    <w:tmpl w:val="3B58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42DB7"/>
    <w:multiLevelType w:val="hybridMultilevel"/>
    <w:tmpl w:val="E11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7335F"/>
    <w:multiLevelType w:val="hybridMultilevel"/>
    <w:tmpl w:val="F9B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E36C1"/>
    <w:multiLevelType w:val="hybridMultilevel"/>
    <w:tmpl w:val="9CAA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236EC"/>
    <w:multiLevelType w:val="hybridMultilevel"/>
    <w:tmpl w:val="7FAA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37983"/>
    <w:multiLevelType w:val="hybridMultilevel"/>
    <w:tmpl w:val="AF9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955B3"/>
    <w:multiLevelType w:val="multilevel"/>
    <w:tmpl w:val="E8D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C27FF1"/>
    <w:multiLevelType w:val="hybridMultilevel"/>
    <w:tmpl w:val="4764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63378"/>
    <w:multiLevelType w:val="hybridMultilevel"/>
    <w:tmpl w:val="9A16DC34"/>
    <w:lvl w:ilvl="0" w:tplc="1BEA4B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B15DA"/>
    <w:multiLevelType w:val="hybridMultilevel"/>
    <w:tmpl w:val="24E49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25642"/>
    <w:multiLevelType w:val="hybridMultilevel"/>
    <w:tmpl w:val="CA8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A233C"/>
    <w:multiLevelType w:val="hybridMultilevel"/>
    <w:tmpl w:val="EA5A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7619E"/>
    <w:multiLevelType w:val="hybridMultilevel"/>
    <w:tmpl w:val="518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02896"/>
    <w:multiLevelType w:val="hybridMultilevel"/>
    <w:tmpl w:val="7376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B6219"/>
    <w:multiLevelType w:val="hybridMultilevel"/>
    <w:tmpl w:val="2984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A29DA"/>
    <w:multiLevelType w:val="hybridMultilevel"/>
    <w:tmpl w:val="9F20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907DD"/>
    <w:multiLevelType w:val="hybridMultilevel"/>
    <w:tmpl w:val="D470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82310"/>
    <w:multiLevelType w:val="hybridMultilevel"/>
    <w:tmpl w:val="BEAE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5"/>
  </w:num>
  <w:num w:numId="5">
    <w:abstractNumId w:val="21"/>
  </w:num>
  <w:num w:numId="6">
    <w:abstractNumId w:val="5"/>
  </w:num>
  <w:num w:numId="7">
    <w:abstractNumId w:val="10"/>
  </w:num>
  <w:num w:numId="8">
    <w:abstractNumId w:val="7"/>
  </w:num>
  <w:num w:numId="9">
    <w:abstractNumId w:val="19"/>
  </w:num>
  <w:num w:numId="10">
    <w:abstractNumId w:val="2"/>
  </w:num>
  <w:num w:numId="11">
    <w:abstractNumId w:val="13"/>
  </w:num>
  <w:num w:numId="12">
    <w:abstractNumId w:val="4"/>
  </w:num>
  <w:num w:numId="13">
    <w:abstractNumId w:val="18"/>
  </w:num>
  <w:num w:numId="14">
    <w:abstractNumId w:val="17"/>
  </w:num>
  <w:num w:numId="15">
    <w:abstractNumId w:val="8"/>
  </w:num>
  <w:num w:numId="16">
    <w:abstractNumId w:val="14"/>
  </w:num>
  <w:num w:numId="17">
    <w:abstractNumId w:val="12"/>
  </w:num>
  <w:num w:numId="18">
    <w:abstractNumId w:val="3"/>
  </w:num>
  <w:num w:numId="19">
    <w:abstractNumId w:val="11"/>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59"/>
    <w:rsid w:val="000112AF"/>
    <w:rsid w:val="00027659"/>
    <w:rsid w:val="00027C23"/>
    <w:rsid w:val="00046323"/>
    <w:rsid w:val="000710A8"/>
    <w:rsid w:val="00072A4E"/>
    <w:rsid w:val="00073761"/>
    <w:rsid w:val="000A70D0"/>
    <w:rsid w:val="000A71B7"/>
    <w:rsid w:val="000A7594"/>
    <w:rsid w:val="000C02C4"/>
    <w:rsid w:val="000C5842"/>
    <w:rsid w:val="000D56EF"/>
    <w:rsid w:val="000E223A"/>
    <w:rsid w:val="001066DB"/>
    <w:rsid w:val="00107862"/>
    <w:rsid w:val="001161F1"/>
    <w:rsid w:val="00121903"/>
    <w:rsid w:val="00124868"/>
    <w:rsid w:val="00133C5A"/>
    <w:rsid w:val="0015391F"/>
    <w:rsid w:val="001721E4"/>
    <w:rsid w:val="0018229D"/>
    <w:rsid w:val="00193FD5"/>
    <w:rsid w:val="00194C98"/>
    <w:rsid w:val="001A02BA"/>
    <w:rsid w:val="001D4ED5"/>
    <w:rsid w:val="001E2B76"/>
    <w:rsid w:val="001E733D"/>
    <w:rsid w:val="001F2134"/>
    <w:rsid w:val="001F6D05"/>
    <w:rsid w:val="00215944"/>
    <w:rsid w:val="00215B6C"/>
    <w:rsid w:val="0023220A"/>
    <w:rsid w:val="002324B8"/>
    <w:rsid w:val="0026000E"/>
    <w:rsid w:val="002672E7"/>
    <w:rsid w:val="00277543"/>
    <w:rsid w:val="00283441"/>
    <w:rsid w:val="002868CC"/>
    <w:rsid w:val="002B4C62"/>
    <w:rsid w:val="002D2CFE"/>
    <w:rsid w:val="002D44D6"/>
    <w:rsid w:val="002E3871"/>
    <w:rsid w:val="002F5AC4"/>
    <w:rsid w:val="0030479D"/>
    <w:rsid w:val="003302F2"/>
    <w:rsid w:val="00332DDC"/>
    <w:rsid w:val="003768CD"/>
    <w:rsid w:val="00377986"/>
    <w:rsid w:val="00383F5D"/>
    <w:rsid w:val="003872F1"/>
    <w:rsid w:val="003A3628"/>
    <w:rsid w:val="003A464B"/>
    <w:rsid w:val="003A7E8E"/>
    <w:rsid w:val="003F0A6B"/>
    <w:rsid w:val="004042F2"/>
    <w:rsid w:val="00415EF2"/>
    <w:rsid w:val="00427A32"/>
    <w:rsid w:val="00467250"/>
    <w:rsid w:val="0048587F"/>
    <w:rsid w:val="0048683C"/>
    <w:rsid w:val="00490957"/>
    <w:rsid w:val="004B1DFD"/>
    <w:rsid w:val="004D748A"/>
    <w:rsid w:val="004F4CC0"/>
    <w:rsid w:val="004F6556"/>
    <w:rsid w:val="004F6E05"/>
    <w:rsid w:val="00533273"/>
    <w:rsid w:val="00536F8C"/>
    <w:rsid w:val="0055240F"/>
    <w:rsid w:val="005555E3"/>
    <w:rsid w:val="00574802"/>
    <w:rsid w:val="005934A3"/>
    <w:rsid w:val="005974A4"/>
    <w:rsid w:val="005C49DB"/>
    <w:rsid w:val="005C7131"/>
    <w:rsid w:val="005F06BF"/>
    <w:rsid w:val="005F1099"/>
    <w:rsid w:val="005F47CC"/>
    <w:rsid w:val="0061023C"/>
    <w:rsid w:val="00630A46"/>
    <w:rsid w:val="006546FB"/>
    <w:rsid w:val="00654AB4"/>
    <w:rsid w:val="00672195"/>
    <w:rsid w:val="006819AB"/>
    <w:rsid w:val="006C3696"/>
    <w:rsid w:val="006F5029"/>
    <w:rsid w:val="00734858"/>
    <w:rsid w:val="007423D4"/>
    <w:rsid w:val="007437CF"/>
    <w:rsid w:val="0074472E"/>
    <w:rsid w:val="00745CE9"/>
    <w:rsid w:val="00763512"/>
    <w:rsid w:val="007928FC"/>
    <w:rsid w:val="00796546"/>
    <w:rsid w:val="007B47FF"/>
    <w:rsid w:val="007D29A3"/>
    <w:rsid w:val="007D5F90"/>
    <w:rsid w:val="007E1B5F"/>
    <w:rsid w:val="008221C8"/>
    <w:rsid w:val="00872977"/>
    <w:rsid w:val="00884C06"/>
    <w:rsid w:val="00886C1B"/>
    <w:rsid w:val="008A02A2"/>
    <w:rsid w:val="008C2098"/>
    <w:rsid w:val="008D051E"/>
    <w:rsid w:val="008D222A"/>
    <w:rsid w:val="008D6ABF"/>
    <w:rsid w:val="008E025F"/>
    <w:rsid w:val="008E1814"/>
    <w:rsid w:val="008E3CC1"/>
    <w:rsid w:val="009246DE"/>
    <w:rsid w:val="00977D5F"/>
    <w:rsid w:val="009C561B"/>
    <w:rsid w:val="009C7B7A"/>
    <w:rsid w:val="00A26821"/>
    <w:rsid w:val="00A31AEB"/>
    <w:rsid w:val="00A36552"/>
    <w:rsid w:val="00A42A6D"/>
    <w:rsid w:val="00A5144B"/>
    <w:rsid w:val="00A5794A"/>
    <w:rsid w:val="00A755EE"/>
    <w:rsid w:val="00A82D4A"/>
    <w:rsid w:val="00A95BDA"/>
    <w:rsid w:val="00AA36E1"/>
    <w:rsid w:val="00AB6F63"/>
    <w:rsid w:val="00AC26D0"/>
    <w:rsid w:val="00AC655C"/>
    <w:rsid w:val="00AD1F33"/>
    <w:rsid w:val="00AE664F"/>
    <w:rsid w:val="00AF0D4C"/>
    <w:rsid w:val="00AF181B"/>
    <w:rsid w:val="00B1685B"/>
    <w:rsid w:val="00B3090D"/>
    <w:rsid w:val="00B32A43"/>
    <w:rsid w:val="00B41F49"/>
    <w:rsid w:val="00B47279"/>
    <w:rsid w:val="00BB67B7"/>
    <w:rsid w:val="00BE2399"/>
    <w:rsid w:val="00C025BC"/>
    <w:rsid w:val="00C13F82"/>
    <w:rsid w:val="00C16A7F"/>
    <w:rsid w:val="00C32614"/>
    <w:rsid w:val="00C6715E"/>
    <w:rsid w:val="00C8001F"/>
    <w:rsid w:val="00CA5727"/>
    <w:rsid w:val="00CB0173"/>
    <w:rsid w:val="00CB60BC"/>
    <w:rsid w:val="00CD2B9B"/>
    <w:rsid w:val="00CD5FB3"/>
    <w:rsid w:val="00CE0069"/>
    <w:rsid w:val="00CE2CED"/>
    <w:rsid w:val="00CE3CC3"/>
    <w:rsid w:val="00CF290C"/>
    <w:rsid w:val="00D041DC"/>
    <w:rsid w:val="00D11136"/>
    <w:rsid w:val="00D144C9"/>
    <w:rsid w:val="00D1768E"/>
    <w:rsid w:val="00D51DD3"/>
    <w:rsid w:val="00D533C9"/>
    <w:rsid w:val="00D61584"/>
    <w:rsid w:val="00D71B99"/>
    <w:rsid w:val="00D85EE8"/>
    <w:rsid w:val="00D95BE2"/>
    <w:rsid w:val="00DA29E5"/>
    <w:rsid w:val="00DD7C51"/>
    <w:rsid w:val="00DF6A59"/>
    <w:rsid w:val="00E270E0"/>
    <w:rsid w:val="00E501F4"/>
    <w:rsid w:val="00E622F2"/>
    <w:rsid w:val="00E732A0"/>
    <w:rsid w:val="00E92460"/>
    <w:rsid w:val="00EA3350"/>
    <w:rsid w:val="00EC2B41"/>
    <w:rsid w:val="00EE07D7"/>
    <w:rsid w:val="00EF022B"/>
    <w:rsid w:val="00F01988"/>
    <w:rsid w:val="00F31884"/>
    <w:rsid w:val="00F51271"/>
    <w:rsid w:val="00F7755C"/>
    <w:rsid w:val="00F81DEA"/>
    <w:rsid w:val="00F94F5B"/>
    <w:rsid w:val="00FA0E1A"/>
    <w:rsid w:val="00FA68DF"/>
    <w:rsid w:val="00FB044B"/>
    <w:rsid w:val="00FB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8A09"/>
  <w15:chartTrackingRefBased/>
  <w15:docId w15:val="{A7A3410C-F132-48E0-A340-9BA425CF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CC3"/>
  </w:style>
  <w:style w:type="paragraph" w:styleId="Heading1">
    <w:name w:val="heading 1"/>
    <w:basedOn w:val="Normal"/>
    <w:next w:val="Normal"/>
    <w:link w:val="Heading1Char"/>
    <w:uiPriority w:val="9"/>
    <w:qFormat/>
    <w:rsid w:val="00027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76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4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6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76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7659"/>
    <w:pPr>
      <w:ind w:left="720"/>
      <w:contextualSpacing/>
    </w:pPr>
  </w:style>
  <w:style w:type="character" w:customStyle="1" w:styleId="Heading3Char">
    <w:name w:val="Heading 3 Char"/>
    <w:basedOn w:val="DefaultParagraphFont"/>
    <w:link w:val="Heading3"/>
    <w:uiPriority w:val="9"/>
    <w:rsid w:val="004F4C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F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C0"/>
    <w:rPr>
      <w:rFonts w:ascii="Segoe UI" w:hAnsi="Segoe UI" w:cs="Segoe UI"/>
      <w:sz w:val="18"/>
      <w:szCs w:val="18"/>
    </w:rPr>
  </w:style>
  <w:style w:type="table" w:styleId="TableGrid">
    <w:name w:val="Table Grid"/>
    <w:basedOn w:val="TableNormal"/>
    <w:uiPriority w:val="39"/>
    <w:rsid w:val="00CF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A43"/>
    <w:rPr>
      <w:color w:val="0563C1" w:themeColor="hyperlink"/>
      <w:u w:val="single"/>
    </w:rPr>
  </w:style>
  <w:style w:type="character" w:styleId="UnresolvedMention">
    <w:name w:val="Unresolved Mention"/>
    <w:basedOn w:val="DefaultParagraphFont"/>
    <w:uiPriority w:val="99"/>
    <w:semiHidden/>
    <w:unhideWhenUsed/>
    <w:rsid w:val="00B3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5739">
      <w:bodyDiv w:val="1"/>
      <w:marLeft w:val="0"/>
      <w:marRight w:val="0"/>
      <w:marTop w:val="0"/>
      <w:marBottom w:val="0"/>
      <w:divBdr>
        <w:top w:val="none" w:sz="0" w:space="0" w:color="auto"/>
        <w:left w:val="none" w:sz="0" w:space="0" w:color="auto"/>
        <w:bottom w:val="none" w:sz="0" w:space="0" w:color="auto"/>
        <w:right w:val="none" w:sz="0" w:space="0" w:color="auto"/>
      </w:divBdr>
    </w:div>
    <w:div w:id="323704446">
      <w:bodyDiv w:val="1"/>
      <w:marLeft w:val="0"/>
      <w:marRight w:val="0"/>
      <w:marTop w:val="0"/>
      <w:marBottom w:val="0"/>
      <w:divBdr>
        <w:top w:val="none" w:sz="0" w:space="0" w:color="auto"/>
        <w:left w:val="none" w:sz="0" w:space="0" w:color="auto"/>
        <w:bottom w:val="none" w:sz="0" w:space="0" w:color="auto"/>
        <w:right w:val="none" w:sz="0" w:space="0" w:color="auto"/>
      </w:divBdr>
    </w:div>
    <w:div w:id="745803180">
      <w:bodyDiv w:val="1"/>
      <w:marLeft w:val="0"/>
      <w:marRight w:val="0"/>
      <w:marTop w:val="0"/>
      <w:marBottom w:val="0"/>
      <w:divBdr>
        <w:top w:val="none" w:sz="0" w:space="0" w:color="auto"/>
        <w:left w:val="none" w:sz="0" w:space="0" w:color="auto"/>
        <w:bottom w:val="none" w:sz="0" w:space="0" w:color="auto"/>
        <w:right w:val="none" w:sz="0" w:space="0" w:color="auto"/>
      </w:divBdr>
      <w:divsChild>
        <w:div w:id="922105617">
          <w:marLeft w:val="0"/>
          <w:marRight w:val="0"/>
          <w:marTop w:val="0"/>
          <w:marBottom w:val="0"/>
          <w:divBdr>
            <w:top w:val="none" w:sz="0" w:space="0" w:color="auto"/>
            <w:left w:val="none" w:sz="0" w:space="0" w:color="auto"/>
            <w:bottom w:val="none" w:sz="0" w:space="0" w:color="auto"/>
            <w:right w:val="none" w:sz="0" w:space="0" w:color="auto"/>
          </w:divBdr>
        </w:div>
      </w:divsChild>
    </w:div>
    <w:div w:id="1475371145">
      <w:bodyDiv w:val="1"/>
      <w:marLeft w:val="0"/>
      <w:marRight w:val="0"/>
      <w:marTop w:val="0"/>
      <w:marBottom w:val="0"/>
      <w:divBdr>
        <w:top w:val="none" w:sz="0" w:space="0" w:color="auto"/>
        <w:left w:val="none" w:sz="0" w:space="0" w:color="auto"/>
        <w:bottom w:val="none" w:sz="0" w:space="0" w:color="auto"/>
        <w:right w:val="none" w:sz="0" w:space="0" w:color="auto"/>
      </w:divBdr>
    </w:div>
    <w:div w:id="1522084345">
      <w:bodyDiv w:val="1"/>
      <w:marLeft w:val="0"/>
      <w:marRight w:val="0"/>
      <w:marTop w:val="0"/>
      <w:marBottom w:val="0"/>
      <w:divBdr>
        <w:top w:val="none" w:sz="0" w:space="0" w:color="auto"/>
        <w:left w:val="none" w:sz="0" w:space="0" w:color="auto"/>
        <w:bottom w:val="none" w:sz="0" w:space="0" w:color="auto"/>
        <w:right w:val="none" w:sz="0" w:space="0" w:color="auto"/>
      </w:divBdr>
    </w:div>
    <w:div w:id="1551527146">
      <w:bodyDiv w:val="1"/>
      <w:marLeft w:val="0"/>
      <w:marRight w:val="0"/>
      <w:marTop w:val="0"/>
      <w:marBottom w:val="0"/>
      <w:divBdr>
        <w:top w:val="none" w:sz="0" w:space="0" w:color="auto"/>
        <w:left w:val="none" w:sz="0" w:space="0" w:color="auto"/>
        <w:bottom w:val="none" w:sz="0" w:space="0" w:color="auto"/>
        <w:right w:val="none" w:sz="0" w:space="0" w:color="auto"/>
      </w:divBdr>
    </w:div>
    <w:div w:id="1869683250">
      <w:bodyDiv w:val="1"/>
      <w:marLeft w:val="0"/>
      <w:marRight w:val="0"/>
      <w:marTop w:val="0"/>
      <w:marBottom w:val="0"/>
      <w:divBdr>
        <w:top w:val="none" w:sz="0" w:space="0" w:color="auto"/>
        <w:left w:val="none" w:sz="0" w:space="0" w:color="auto"/>
        <w:bottom w:val="none" w:sz="0" w:space="0" w:color="auto"/>
        <w:right w:val="none" w:sz="0" w:space="0" w:color="auto"/>
      </w:divBdr>
    </w:div>
    <w:div w:id="1912425306">
      <w:bodyDiv w:val="1"/>
      <w:marLeft w:val="0"/>
      <w:marRight w:val="0"/>
      <w:marTop w:val="0"/>
      <w:marBottom w:val="0"/>
      <w:divBdr>
        <w:top w:val="none" w:sz="0" w:space="0" w:color="auto"/>
        <w:left w:val="none" w:sz="0" w:space="0" w:color="auto"/>
        <w:bottom w:val="none" w:sz="0" w:space="0" w:color="auto"/>
        <w:right w:val="none" w:sz="0" w:space="0" w:color="auto"/>
      </w:divBdr>
    </w:div>
    <w:div w:id="20062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0AE4-D83D-4329-B618-70BA86087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1D989-A8D8-4B11-AEDD-B04B93F1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2673E1-9F8D-45CD-B775-EB320B97FB31}">
  <ds:schemaRefs>
    <ds:schemaRef ds:uri="http://schemas.microsoft.com/sharepoint/v3/contenttype/forms"/>
  </ds:schemaRefs>
</ds:datastoreItem>
</file>

<file path=customXml/itemProps4.xml><?xml version="1.0" encoding="utf-8"?>
<ds:datastoreItem xmlns:ds="http://schemas.openxmlformats.org/officeDocument/2006/customXml" ds:itemID="{359253CB-BE76-4331-BB7A-AF5A650D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4751</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Hamkins, Jon (3320)</dc:creator>
  <cp:keywords/>
  <dc:description/>
  <cp:lastModifiedBy>Hamkins, Jon (US 3300)</cp:lastModifiedBy>
  <cp:revision>38</cp:revision>
  <dcterms:created xsi:type="dcterms:W3CDTF">2020-05-05T16:29:00Z</dcterms:created>
  <dcterms:modified xsi:type="dcterms:W3CDTF">2022-05-15T19:09:00Z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0x010100C51F34B230ED884490EAA0CC535EA820</vt:lpwstr>
  </property>
</Properties>
</file>