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75CDE7" w14:textId="77777777" w:rsidR="006A2451" w:rsidRDefault="000931C4">
      <w:pPr>
        <w:pStyle w:val="Heading1"/>
        <w:keepNext w:val="0"/>
        <w:keepLines w:val="0"/>
        <w:widowControl w:val="0"/>
        <w:contextualSpacing w:val="0"/>
        <w:jc w:val="center"/>
      </w:pPr>
      <w:bookmarkStart w:id="0" w:name="h.9u5w89wolcb" w:colFirst="0" w:colLast="0"/>
      <w:bookmarkEnd w:id="0"/>
      <w:r>
        <w:t>MOIMS-TEL Notes for Fall 2015 Technical Meeting</w:t>
      </w:r>
    </w:p>
    <w:p w14:paraId="5768DEC6" w14:textId="77777777" w:rsidR="006A2451" w:rsidRDefault="006A2451">
      <w:pPr>
        <w:pStyle w:val="normal0"/>
      </w:pPr>
    </w:p>
    <w:p w14:paraId="6D37332F" w14:textId="77777777" w:rsidR="006A2451" w:rsidRDefault="000931C4">
      <w:pPr>
        <w:pStyle w:val="normal0"/>
      </w:pPr>
      <w:r>
        <w:rPr>
          <w:sz w:val="21"/>
          <w:szCs w:val="21"/>
        </w:rPr>
        <w:t>What follows is a summary of the discussions that took place at the meeting, and the actions that were assigned. In each case, the discussion “leader” or the person who assigned the action is indicated in parentheses. None of these items has yet been dispo</w:t>
      </w:r>
      <w:r>
        <w:rPr>
          <w:sz w:val="21"/>
          <w:szCs w:val="21"/>
        </w:rPr>
        <w:t>sitioned.</w:t>
      </w:r>
    </w:p>
    <w:p w14:paraId="79B3896F" w14:textId="77777777" w:rsidR="006A2451" w:rsidRDefault="006A2451">
      <w:pPr>
        <w:pStyle w:val="normal0"/>
      </w:pPr>
    </w:p>
    <w:p w14:paraId="77AC4ECC" w14:textId="77777777" w:rsidR="006A2451" w:rsidRDefault="000931C4">
      <w:pPr>
        <w:pStyle w:val="normal0"/>
        <w:numPr>
          <w:ilvl w:val="0"/>
          <w:numId w:val="2"/>
        </w:numPr>
        <w:ind w:hanging="360"/>
        <w:contextualSpacing/>
        <w:rPr>
          <w:sz w:val="21"/>
          <w:szCs w:val="21"/>
        </w:rPr>
      </w:pPr>
      <w:r>
        <w:rPr>
          <w:i/>
          <w:sz w:val="21"/>
          <w:szCs w:val="21"/>
        </w:rPr>
        <w:t>Discussion</w:t>
      </w:r>
      <w:r>
        <w:rPr>
          <w:sz w:val="21"/>
          <w:szCs w:val="21"/>
        </w:rPr>
        <w:t>: Lower-limit is “increasing” with DLR seeing 500ms delay in haptic control. This limit is expected to increase with advances in control technology.</w:t>
      </w:r>
    </w:p>
    <w:p w14:paraId="2857E278" w14:textId="77777777" w:rsidR="006A2451" w:rsidRDefault="000931C4">
      <w:pPr>
        <w:pStyle w:val="normal0"/>
        <w:numPr>
          <w:ilvl w:val="0"/>
          <w:numId w:val="2"/>
        </w:numPr>
        <w:ind w:hanging="360"/>
        <w:contextualSpacing/>
        <w:rPr>
          <w:sz w:val="21"/>
          <w:szCs w:val="21"/>
        </w:rPr>
      </w:pPr>
      <w:r>
        <w:rPr>
          <w:b/>
          <w:sz w:val="21"/>
          <w:szCs w:val="21"/>
        </w:rPr>
        <w:t>Action</w:t>
      </w:r>
      <w:r>
        <w:rPr>
          <w:sz w:val="21"/>
          <w:szCs w:val="21"/>
        </w:rPr>
        <w:t xml:space="preserve">: Expand on Section 3.3.1, “Low-Latency Operations” and move into the main body </w:t>
      </w:r>
      <w:r>
        <w:rPr>
          <w:sz w:val="21"/>
          <w:szCs w:val="21"/>
        </w:rPr>
        <w:t>of the Green Book. Reference current latency research and describe information related to synchronization service, which is the “why” behind the inclusion of Low-Latency Operations in the Green Book</w:t>
      </w:r>
    </w:p>
    <w:p w14:paraId="4E97E0E5" w14:textId="77777777" w:rsidR="006A2451" w:rsidRDefault="000931C4">
      <w:pPr>
        <w:pStyle w:val="normal0"/>
        <w:numPr>
          <w:ilvl w:val="0"/>
          <w:numId w:val="2"/>
        </w:numPr>
        <w:ind w:hanging="360"/>
        <w:contextualSpacing/>
        <w:rPr>
          <w:sz w:val="21"/>
          <w:szCs w:val="21"/>
        </w:rPr>
      </w:pPr>
      <w:r>
        <w:rPr>
          <w:i/>
          <w:sz w:val="21"/>
          <w:szCs w:val="21"/>
        </w:rPr>
        <w:t>Discussion</w:t>
      </w:r>
      <w:r>
        <w:rPr>
          <w:sz w:val="21"/>
          <w:szCs w:val="21"/>
        </w:rPr>
        <w:t>: Explanation of video in METERON (the “early d</w:t>
      </w:r>
      <w:r>
        <w:rPr>
          <w:sz w:val="21"/>
          <w:szCs w:val="21"/>
        </w:rPr>
        <w:t>ays”), as not yet completely reliable. (Toril Bye Rinnan)</w:t>
      </w:r>
    </w:p>
    <w:p w14:paraId="339BA016" w14:textId="77777777" w:rsidR="006A2451" w:rsidRDefault="000931C4">
      <w:pPr>
        <w:pStyle w:val="normal0"/>
        <w:numPr>
          <w:ilvl w:val="0"/>
          <w:numId w:val="2"/>
        </w:numPr>
        <w:ind w:hanging="360"/>
        <w:contextualSpacing/>
        <w:rPr>
          <w:sz w:val="21"/>
          <w:szCs w:val="21"/>
        </w:rPr>
      </w:pPr>
      <w:r>
        <w:rPr>
          <w:i/>
          <w:sz w:val="21"/>
          <w:szCs w:val="21"/>
        </w:rPr>
        <w:t>Discussion</w:t>
      </w:r>
      <w:r>
        <w:rPr>
          <w:sz w:val="21"/>
          <w:szCs w:val="21"/>
        </w:rPr>
        <w:t>: “Super-fast” MPEG-4 encoders. (Rodney Grubbs)</w:t>
      </w:r>
    </w:p>
    <w:p w14:paraId="74593F3C" w14:textId="77777777" w:rsidR="006A2451" w:rsidRDefault="000931C4">
      <w:pPr>
        <w:pStyle w:val="normal0"/>
        <w:numPr>
          <w:ilvl w:val="0"/>
          <w:numId w:val="1"/>
        </w:numPr>
        <w:ind w:hanging="360"/>
        <w:contextualSpacing/>
      </w:pPr>
      <w:r>
        <w:rPr>
          <w:i/>
          <w:sz w:val="21"/>
          <w:szCs w:val="21"/>
        </w:rPr>
        <w:t>Discussion</w:t>
      </w:r>
      <w:r>
        <w:rPr>
          <w:sz w:val="21"/>
          <w:szCs w:val="21"/>
        </w:rPr>
        <w:t>: Relevance of latency to this standard (Sarmad Aziz)</w:t>
      </w:r>
    </w:p>
    <w:p w14:paraId="1EDBD96F" w14:textId="77777777" w:rsidR="006A2451" w:rsidRDefault="000931C4">
      <w:pPr>
        <w:pStyle w:val="normal0"/>
        <w:numPr>
          <w:ilvl w:val="0"/>
          <w:numId w:val="1"/>
        </w:numPr>
        <w:ind w:hanging="360"/>
        <w:contextualSpacing/>
      </w:pPr>
      <w:r>
        <w:rPr>
          <w:b/>
          <w:sz w:val="21"/>
          <w:szCs w:val="21"/>
        </w:rPr>
        <w:t>Action</w:t>
      </w:r>
      <w:r>
        <w:rPr>
          <w:sz w:val="21"/>
          <w:szCs w:val="21"/>
        </w:rPr>
        <w:t>: Re-add Suitability Service to the Green Book. (David Mittman)</w:t>
      </w:r>
    </w:p>
    <w:p w14:paraId="73313BE1" w14:textId="77777777" w:rsidR="006A2451" w:rsidRDefault="000931C4">
      <w:pPr>
        <w:pStyle w:val="normal0"/>
        <w:numPr>
          <w:ilvl w:val="0"/>
          <w:numId w:val="1"/>
        </w:numPr>
        <w:ind w:hanging="360"/>
        <w:contextualSpacing/>
      </w:pPr>
      <w:r>
        <w:rPr>
          <w:i/>
          <w:sz w:val="21"/>
          <w:szCs w:val="21"/>
        </w:rPr>
        <w:t>Discus</w:t>
      </w:r>
      <w:r>
        <w:rPr>
          <w:i/>
          <w:sz w:val="21"/>
          <w:szCs w:val="21"/>
        </w:rPr>
        <w:t>sion</w:t>
      </w:r>
      <w:r>
        <w:rPr>
          <w:sz w:val="21"/>
          <w:szCs w:val="21"/>
        </w:rPr>
        <w:t xml:space="preserve">: Possibility of re-adding the </w:t>
      </w:r>
      <w:proofErr w:type="spellStart"/>
      <w:r>
        <w:rPr>
          <w:sz w:val="21"/>
          <w:szCs w:val="21"/>
        </w:rPr>
        <w:t>tele</w:t>
      </w:r>
      <w:proofErr w:type="spellEnd"/>
      <w:r>
        <w:rPr>
          <w:sz w:val="21"/>
          <w:szCs w:val="21"/>
        </w:rPr>
        <w:t xml:space="preserve">-surgery use case, which was removed from the Green Book for the </w:t>
      </w:r>
      <w:proofErr w:type="spellStart"/>
      <w:r>
        <w:rPr>
          <w:sz w:val="21"/>
          <w:szCs w:val="21"/>
        </w:rPr>
        <w:t>Zeroth</w:t>
      </w:r>
      <w:proofErr w:type="spellEnd"/>
      <w:r>
        <w:rPr>
          <w:sz w:val="21"/>
          <w:szCs w:val="21"/>
        </w:rPr>
        <w:t xml:space="preserve"> Issue. (DLR, NASA/JSC, MDA)</w:t>
      </w:r>
    </w:p>
    <w:p w14:paraId="42D32EA9" w14:textId="77777777" w:rsidR="006A2451" w:rsidRDefault="000931C4">
      <w:pPr>
        <w:pStyle w:val="normal0"/>
        <w:numPr>
          <w:ilvl w:val="0"/>
          <w:numId w:val="1"/>
        </w:numPr>
        <w:ind w:hanging="360"/>
        <w:contextualSpacing/>
      </w:pPr>
      <w:r>
        <w:rPr>
          <w:i/>
          <w:sz w:val="21"/>
          <w:szCs w:val="21"/>
        </w:rPr>
        <w:t>Discussion</w:t>
      </w:r>
      <w:r>
        <w:rPr>
          <w:sz w:val="21"/>
          <w:szCs w:val="21"/>
        </w:rPr>
        <w:t xml:space="preserve">: Consider multiple Blue Books, covering distinctly different use cases / scenarios. (Osvaldo </w:t>
      </w:r>
      <w:proofErr w:type="spellStart"/>
      <w:r>
        <w:rPr>
          <w:sz w:val="21"/>
          <w:szCs w:val="21"/>
        </w:rPr>
        <w:t>Peinado</w:t>
      </w:r>
      <w:proofErr w:type="spellEnd"/>
      <w:r>
        <w:rPr>
          <w:sz w:val="21"/>
          <w:szCs w:val="21"/>
        </w:rPr>
        <w:t>)</w:t>
      </w:r>
    </w:p>
    <w:p w14:paraId="3AB1D00D" w14:textId="77777777" w:rsidR="006A2451" w:rsidRDefault="000931C4">
      <w:pPr>
        <w:pStyle w:val="normal0"/>
        <w:numPr>
          <w:ilvl w:val="0"/>
          <w:numId w:val="1"/>
        </w:numPr>
        <w:ind w:hanging="360"/>
        <w:contextualSpacing/>
      </w:pPr>
      <w:r>
        <w:rPr>
          <w:i/>
          <w:sz w:val="21"/>
          <w:szCs w:val="21"/>
        </w:rPr>
        <w:t>Disc</w:t>
      </w:r>
      <w:r>
        <w:rPr>
          <w:i/>
          <w:sz w:val="21"/>
          <w:szCs w:val="21"/>
        </w:rPr>
        <w:t>ussion</w:t>
      </w:r>
      <w:r>
        <w:rPr>
          <w:sz w:val="21"/>
          <w:szCs w:val="21"/>
        </w:rPr>
        <w:t xml:space="preserve">: Suitability of video for the human operator, and what to do in case of increased </w:t>
      </w:r>
      <w:proofErr w:type="gramStart"/>
      <w:r>
        <w:rPr>
          <w:sz w:val="21"/>
          <w:szCs w:val="21"/>
        </w:rPr>
        <w:t>delay</w:t>
      </w:r>
      <w:proofErr w:type="gramEnd"/>
      <w:r>
        <w:rPr>
          <w:sz w:val="21"/>
          <w:szCs w:val="21"/>
        </w:rPr>
        <w:t>. This is a strong candidate for the Suitability Service use case. (Toril Bye Rinnan)</w:t>
      </w:r>
    </w:p>
    <w:p w14:paraId="52876793" w14:textId="77777777" w:rsidR="006A2451" w:rsidRDefault="000931C4">
      <w:pPr>
        <w:pStyle w:val="normal0"/>
        <w:numPr>
          <w:ilvl w:val="0"/>
          <w:numId w:val="1"/>
        </w:numPr>
        <w:ind w:hanging="360"/>
        <w:contextualSpacing/>
      </w:pPr>
      <w:r>
        <w:rPr>
          <w:b/>
          <w:sz w:val="21"/>
          <w:szCs w:val="21"/>
        </w:rPr>
        <w:t>Action</w:t>
      </w:r>
      <w:r>
        <w:rPr>
          <w:sz w:val="21"/>
          <w:szCs w:val="21"/>
        </w:rPr>
        <w:t>: Add a satellite-servicing scenario to the Green Book. (</w:t>
      </w:r>
      <w:proofErr w:type="spellStart"/>
      <w:r>
        <w:rPr>
          <w:sz w:val="21"/>
          <w:szCs w:val="21"/>
        </w:rPr>
        <w:t>Jordi</w:t>
      </w:r>
      <w:proofErr w:type="spellEnd"/>
      <w:r>
        <w:rPr>
          <w:sz w:val="21"/>
          <w:szCs w:val="21"/>
        </w:rPr>
        <w:t xml:space="preserve"> Artigas</w:t>
      </w:r>
      <w:r>
        <w:rPr>
          <w:sz w:val="21"/>
          <w:szCs w:val="21"/>
        </w:rPr>
        <w:t>)</w:t>
      </w:r>
    </w:p>
    <w:p w14:paraId="2F9D5EFA" w14:textId="77777777" w:rsidR="006A2451" w:rsidRDefault="000931C4">
      <w:pPr>
        <w:pStyle w:val="normal0"/>
        <w:numPr>
          <w:ilvl w:val="0"/>
          <w:numId w:val="1"/>
        </w:numPr>
        <w:ind w:hanging="360"/>
        <w:contextualSpacing/>
      </w:pPr>
      <w:r>
        <w:rPr>
          <w:b/>
          <w:sz w:val="21"/>
          <w:szCs w:val="21"/>
        </w:rPr>
        <w:t>Action</w:t>
      </w:r>
      <w:r>
        <w:rPr>
          <w:sz w:val="21"/>
          <w:szCs w:val="21"/>
        </w:rPr>
        <w:t>: Reach out to GSFC to raise awareness of the inclusion of a satellite-servicing scenario. (David Mittman)</w:t>
      </w:r>
    </w:p>
    <w:p w14:paraId="435157DD" w14:textId="77777777" w:rsidR="006A2451" w:rsidRDefault="000931C4">
      <w:pPr>
        <w:pStyle w:val="normal0"/>
        <w:numPr>
          <w:ilvl w:val="0"/>
          <w:numId w:val="1"/>
        </w:numPr>
        <w:ind w:hanging="360"/>
        <w:contextualSpacing/>
      </w:pPr>
      <w:r>
        <w:rPr>
          <w:i/>
          <w:sz w:val="21"/>
          <w:szCs w:val="21"/>
        </w:rPr>
        <w:t>Discussion</w:t>
      </w:r>
      <w:r>
        <w:rPr>
          <w:sz w:val="21"/>
          <w:szCs w:val="21"/>
        </w:rPr>
        <w:t>: Frame Store Service (Section 3.2.3) and its relation to telepresence through support of image stitching. (David Mittman)</w:t>
      </w:r>
    </w:p>
    <w:p w14:paraId="22A49839" w14:textId="77777777" w:rsidR="006A2451" w:rsidRDefault="000931C4">
      <w:pPr>
        <w:pStyle w:val="normal0"/>
        <w:numPr>
          <w:ilvl w:val="0"/>
          <w:numId w:val="1"/>
        </w:numPr>
        <w:ind w:hanging="360"/>
        <w:contextualSpacing/>
      </w:pPr>
      <w:r>
        <w:rPr>
          <w:b/>
          <w:sz w:val="21"/>
          <w:szCs w:val="21"/>
        </w:rPr>
        <w:t>Action</w:t>
      </w:r>
      <w:r>
        <w:rPr>
          <w:sz w:val="21"/>
          <w:szCs w:val="21"/>
        </w:rPr>
        <w:t xml:space="preserve">: </w:t>
      </w:r>
      <w:r>
        <w:rPr>
          <w:sz w:val="21"/>
          <w:szCs w:val="21"/>
        </w:rPr>
        <w:t>Add definitions of “telepresence” and “</w:t>
      </w:r>
      <w:proofErr w:type="spellStart"/>
      <w:r>
        <w:rPr>
          <w:sz w:val="21"/>
          <w:szCs w:val="21"/>
        </w:rPr>
        <w:t>tele</w:t>
      </w:r>
      <w:proofErr w:type="spellEnd"/>
      <w:r>
        <w:rPr>
          <w:sz w:val="21"/>
          <w:szCs w:val="21"/>
        </w:rPr>
        <w:t>-manipulation” to the Lexicon. (</w:t>
      </w:r>
      <w:proofErr w:type="spellStart"/>
      <w:r>
        <w:rPr>
          <w:sz w:val="21"/>
          <w:szCs w:val="21"/>
        </w:rPr>
        <w:t>Jordi</w:t>
      </w:r>
      <w:proofErr w:type="spellEnd"/>
      <w:r>
        <w:rPr>
          <w:sz w:val="21"/>
          <w:szCs w:val="21"/>
        </w:rPr>
        <w:t xml:space="preserve"> Artigas)</w:t>
      </w:r>
    </w:p>
    <w:p w14:paraId="1F707B81" w14:textId="77777777" w:rsidR="006A2451" w:rsidRDefault="000931C4">
      <w:pPr>
        <w:pStyle w:val="normal0"/>
        <w:numPr>
          <w:ilvl w:val="0"/>
          <w:numId w:val="1"/>
        </w:numPr>
        <w:ind w:hanging="360"/>
        <w:contextualSpacing/>
        <w:rPr>
          <w:sz w:val="21"/>
          <w:szCs w:val="21"/>
        </w:rPr>
      </w:pPr>
      <w:r>
        <w:rPr>
          <w:i/>
          <w:sz w:val="21"/>
          <w:szCs w:val="21"/>
        </w:rPr>
        <w:t>Discussion</w:t>
      </w:r>
      <w:r>
        <w:rPr>
          <w:sz w:val="21"/>
          <w:szCs w:val="21"/>
        </w:rPr>
        <w:t xml:space="preserve">: Dmitry — Satellite constellation use case; referred to CESG. (Dmitry </w:t>
      </w:r>
      <w:proofErr w:type="spellStart"/>
      <w:r>
        <w:rPr>
          <w:sz w:val="21"/>
          <w:szCs w:val="21"/>
        </w:rPr>
        <w:t>Marareskul</w:t>
      </w:r>
      <w:proofErr w:type="spellEnd"/>
      <w:r>
        <w:rPr>
          <w:sz w:val="21"/>
          <w:szCs w:val="21"/>
        </w:rPr>
        <w:t>)</w:t>
      </w:r>
    </w:p>
    <w:p w14:paraId="393ED191" w14:textId="77777777" w:rsidR="006A2451" w:rsidRDefault="000931C4">
      <w:pPr>
        <w:pStyle w:val="normal0"/>
        <w:numPr>
          <w:ilvl w:val="0"/>
          <w:numId w:val="1"/>
        </w:numPr>
        <w:ind w:hanging="360"/>
        <w:contextualSpacing/>
      </w:pPr>
      <w:r>
        <w:rPr>
          <w:b/>
          <w:sz w:val="21"/>
          <w:szCs w:val="21"/>
        </w:rPr>
        <w:t>Action</w:t>
      </w:r>
      <w:r>
        <w:rPr>
          <w:sz w:val="21"/>
          <w:szCs w:val="21"/>
        </w:rPr>
        <w:t xml:space="preserve">: Add Haptics to Figure 2, </w:t>
      </w:r>
      <w:proofErr w:type="gramStart"/>
      <w:r>
        <w:rPr>
          <w:sz w:val="21"/>
          <w:szCs w:val="21"/>
        </w:rPr>
        <w:t>A</w:t>
      </w:r>
      <w:proofErr w:type="gramEnd"/>
      <w:r>
        <w:rPr>
          <w:sz w:val="21"/>
          <w:szCs w:val="21"/>
        </w:rPr>
        <w:t xml:space="preserve"> </w:t>
      </w:r>
      <w:proofErr w:type="spellStart"/>
      <w:r>
        <w:rPr>
          <w:sz w:val="21"/>
          <w:szCs w:val="21"/>
        </w:rPr>
        <w:t>strawman</w:t>
      </w:r>
      <w:proofErr w:type="spellEnd"/>
      <w:r>
        <w:rPr>
          <w:sz w:val="21"/>
          <w:szCs w:val="21"/>
        </w:rPr>
        <w:t xml:space="preserve"> gap analysis. (Not assigned)</w:t>
      </w:r>
    </w:p>
    <w:p w14:paraId="39FA6904" w14:textId="77777777" w:rsidR="006A2451" w:rsidRDefault="000931C4">
      <w:pPr>
        <w:pStyle w:val="normal0"/>
        <w:numPr>
          <w:ilvl w:val="0"/>
          <w:numId w:val="1"/>
        </w:numPr>
        <w:ind w:hanging="360"/>
        <w:contextualSpacing/>
      </w:pPr>
      <w:r>
        <w:rPr>
          <w:b/>
          <w:sz w:val="21"/>
          <w:szCs w:val="21"/>
        </w:rPr>
        <w:t>Action</w:t>
      </w:r>
      <w:r>
        <w:rPr>
          <w:sz w:val="21"/>
          <w:szCs w:val="21"/>
        </w:rPr>
        <w:t xml:space="preserve">: Add Voice to Figure 2, </w:t>
      </w:r>
      <w:proofErr w:type="gramStart"/>
      <w:r>
        <w:rPr>
          <w:sz w:val="21"/>
          <w:szCs w:val="21"/>
        </w:rPr>
        <w:t>A</w:t>
      </w:r>
      <w:proofErr w:type="gramEnd"/>
      <w:r>
        <w:rPr>
          <w:sz w:val="21"/>
          <w:szCs w:val="21"/>
        </w:rPr>
        <w:t xml:space="preserve"> </w:t>
      </w:r>
      <w:proofErr w:type="spellStart"/>
      <w:r>
        <w:rPr>
          <w:sz w:val="21"/>
          <w:szCs w:val="21"/>
        </w:rPr>
        <w:t>strawman</w:t>
      </w:r>
      <w:proofErr w:type="spellEnd"/>
      <w:r>
        <w:rPr>
          <w:sz w:val="21"/>
          <w:szCs w:val="21"/>
        </w:rPr>
        <w:t xml:space="preserve"> gap analysis. (Not assigned)</w:t>
      </w:r>
    </w:p>
    <w:p w14:paraId="569B80EA" w14:textId="77777777" w:rsidR="006A2451" w:rsidRDefault="000931C4">
      <w:pPr>
        <w:pStyle w:val="normal0"/>
        <w:numPr>
          <w:ilvl w:val="0"/>
          <w:numId w:val="1"/>
        </w:numPr>
        <w:ind w:hanging="360"/>
        <w:contextualSpacing/>
      </w:pPr>
      <w:r>
        <w:rPr>
          <w:b/>
          <w:sz w:val="21"/>
          <w:szCs w:val="21"/>
        </w:rPr>
        <w:t>Action</w:t>
      </w:r>
      <w:r>
        <w:rPr>
          <w:sz w:val="21"/>
          <w:szCs w:val="21"/>
        </w:rPr>
        <w:t>: Add robot-to-robot connection in Figure 1, Telerobotic end-to-end model, to match the phrase “other robotic devices” in item number 1 in the paragraphs following Figure 1. (Jens</w:t>
      </w:r>
      <w:r>
        <w:rPr>
          <w:sz w:val="21"/>
          <w:szCs w:val="21"/>
        </w:rPr>
        <w:t xml:space="preserve"> Pfau)</w:t>
      </w:r>
    </w:p>
    <w:p w14:paraId="26AD6F45" w14:textId="77777777" w:rsidR="006A2451" w:rsidRDefault="000931C4">
      <w:pPr>
        <w:pStyle w:val="normal0"/>
        <w:numPr>
          <w:ilvl w:val="0"/>
          <w:numId w:val="1"/>
        </w:numPr>
        <w:ind w:hanging="360"/>
        <w:contextualSpacing/>
      </w:pPr>
      <w:r>
        <w:rPr>
          <w:b/>
          <w:sz w:val="21"/>
          <w:szCs w:val="21"/>
        </w:rPr>
        <w:t>Action</w:t>
      </w:r>
      <w:r>
        <w:rPr>
          <w:sz w:val="21"/>
          <w:szCs w:val="21"/>
        </w:rPr>
        <w:t xml:space="preserve">: Add a robot-to-robot task support scenario. Potentially add to “swarm” scenario, Section 3.1.1.4, Control of Multiple Agents Simultaneously. (Dmitry </w:t>
      </w:r>
      <w:proofErr w:type="spellStart"/>
      <w:r>
        <w:rPr>
          <w:sz w:val="21"/>
          <w:szCs w:val="21"/>
        </w:rPr>
        <w:t>Marareskul</w:t>
      </w:r>
      <w:proofErr w:type="spellEnd"/>
      <w:r>
        <w:rPr>
          <w:sz w:val="21"/>
          <w:szCs w:val="21"/>
        </w:rPr>
        <w:t>)</w:t>
      </w:r>
    </w:p>
    <w:p w14:paraId="669270DF" w14:textId="77777777" w:rsidR="006A2451" w:rsidRDefault="000931C4">
      <w:pPr>
        <w:pStyle w:val="normal0"/>
        <w:numPr>
          <w:ilvl w:val="0"/>
          <w:numId w:val="1"/>
        </w:numPr>
        <w:ind w:hanging="360"/>
        <w:contextualSpacing/>
      </w:pPr>
      <w:r>
        <w:rPr>
          <w:b/>
          <w:sz w:val="21"/>
          <w:szCs w:val="21"/>
        </w:rPr>
        <w:t>Action</w:t>
      </w:r>
      <w:r>
        <w:rPr>
          <w:sz w:val="21"/>
          <w:szCs w:val="21"/>
        </w:rPr>
        <w:t xml:space="preserve">: Review </w:t>
      </w:r>
      <w:r w:rsidRPr="000931C4">
        <w:rPr>
          <w:sz w:val="21"/>
          <w:szCs w:val="21"/>
        </w:rPr>
        <w:t>NASR</w:t>
      </w:r>
      <w:bookmarkStart w:id="1" w:name="_GoBack"/>
      <w:bookmarkEnd w:id="1"/>
      <w:r w:rsidRPr="000931C4">
        <w:rPr>
          <w:sz w:val="21"/>
          <w:szCs w:val="21"/>
        </w:rPr>
        <w:t>EM</w:t>
      </w:r>
      <w:r>
        <w:rPr>
          <w:sz w:val="21"/>
          <w:szCs w:val="21"/>
        </w:rPr>
        <w:t xml:space="preserve"> and consider it as a way of hierarchically structuring services in the document. (Gianfranco Visentin)</w:t>
      </w:r>
    </w:p>
    <w:p w14:paraId="1B010DCE" w14:textId="77777777" w:rsidR="006A2451" w:rsidRDefault="000931C4">
      <w:pPr>
        <w:pStyle w:val="normal0"/>
        <w:numPr>
          <w:ilvl w:val="0"/>
          <w:numId w:val="1"/>
        </w:numPr>
        <w:ind w:hanging="360"/>
        <w:contextualSpacing/>
        <w:rPr>
          <w:sz w:val="21"/>
          <w:szCs w:val="21"/>
        </w:rPr>
      </w:pPr>
      <w:r>
        <w:rPr>
          <w:i/>
          <w:sz w:val="21"/>
          <w:szCs w:val="21"/>
        </w:rPr>
        <w:t>Discussion</w:t>
      </w:r>
      <w:r>
        <w:rPr>
          <w:sz w:val="21"/>
          <w:szCs w:val="21"/>
        </w:rPr>
        <w:t>: The Real-time Control System (RCS) reference model architecture and its relevance to this effort. History from RCS</w:t>
      </w:r>
      <w:r>
        <w:rPr>
          <w:sz w:val="21"/>
          <w:szCs w:val="21"/>
        </w:rPr>
        <w:t>-1, NASREM RCS-3, and NIST RCS-4. (Gianfranco Visentin)</w:t>
      </w:r>
    </w:p>
    <w:p w14:paraId="127B55CE" w14:textId="77777777" w:rsidR="006A2451" w:rsidRDefault="000931C4">
      <w:pPr>
        <w:pStyle w:val="normal0"/>
        <w:numPr>
          <w:ilvl w:val="0"/>
          <w:numId w:val="1"/>
        </w:numPr>
        <w:ind w:hanging="360"/>
        <w:contextualSpacing/>
        <w:rPr>
          <w:sz w:val="21"/>
          <w:szCs w:val="21"/>
        </w:rPr>
      </w:pPr>
      <w:r>
        <w:rPr>
          <w:i/>
          <w:sz w:val="21"/>
          <w:szCs w:val="21"/>
        </w:rPr>
        <w:t>Discussion</w:t>
      </w:r>
      <w:r>
        <w:rPr>
          <w:sz w:val="21"/>
          <w:szCs w:val="21"/>
        </w:rPr>
        <w:t>: ISS latency of 700ms over “nominal channels.” (Tom Rich)</w:t>
      </w:r>
    </w:p>
    <w:sectPr w:rsidR="006A24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C2C50"/>
    <w:multiLevelType w:val="multilevel"/>
    <w:tmpl w:val="824C3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E5A201E"/>
    <w:multiLevelType w:val="multilevel"/>
    <w:tmpl w:val="C31A316E"/>
    <w:lvl w:ilvl="0">
      <w:start w:val="1"/>
      <w:numFmt w:val="bullet"/>
      <w:lvlText w:val="●"/>
      <w:lvlJc w:val="left"/>
      <w:pPr>
        <w:ind w:left="720" w:firstLine="360"/>
      </w:pPr>
      <w:rPr>
        <w:sz w:val="21"/>
        <w:szCs w:val="21"/>
        <w:u w:val="none"/>
      </w:rPr>
    </w:lvl>
    <w:lvl w:ilvl="1">
      <w:start w:val="1"/>
      <w:numFmt w:val="bullet"/>
      <w:lvlText w:val="○"/>
      <w:lvlJc w:val="left"/>
      <w:pPr>
        <w:ind w:left="1440" w:firstLine="1080"/>
      </w:pPr>
      <w:rPr>
        <w:sz w:val="21"/>
        <w:szCs w:val="21"/>
        <w:u w:val="none"/>
      </w:rPr>
    </w:lvl>
    <w:lvl w:ilvl="2">
      <w:start w:val="1"/>
      <w:numFmt w:val="bullet"/>
      <w:lvlText w:val="■"/>
      <w:lvlJc w:val="left"/>
      <w:pPr>
        <w:ind w:left="2160" w:firstLine="1800"/>
      </w:pPr>
      <w:rPr>
        <w:sz w:val="21"/>
        <w:szCs w:val="21"/>
        <w:u w:val="none"/>
      </w:rPr>
    </w:lvl>
    <w:lvl w:ilvl="3">
      <w:start w:val="1"/>
      <w:numFmt w:val="bullet"/>
      <w:lvlText w:val="■"/>
      <w:lvlJc w:val="left"/>
      <w:pPr>
        <w:ind w:left="2880" w:firstLine="2520"/>
      </w:pPr>
      <w:rPr>
        <w:sz w:val="21"/>
        <w:szCs w:val="21"/>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6A2451"/>
    <w:rsid w:val="000931C4"/>
    <w:rsid w:val="006A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E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2472</Characters>
  <Application>Microsoft Macintosh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Mittman</cp:lastModifiedBy>
  <cp:revision>2</cp:revision>
  <dcterms:created xsi:type="dcterms:W3CDTF">2016-04-15T21:35:00Z</dcterms:created>
  <dcterms:modified xsi:type="dcterms:W3CDTF">2016-04-15T21:38:00Z</dcterms:modified>
</cp:coreProperties>
</file>