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>
        <w:trPr>
          <w:tblHeader/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>
              <w:rPr>
                <w:b/>
                <w:bCs/>
                <w:color w:val="0000FF"/>
                <w:sz w:val="22"/>
                <w:u w:val="single"/>
              </w:rPr>
              <w:t>Completed by Principal Editor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4-11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4.2.1.1</w:t>
            </w: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table 4-1, Terms “body” and “Segment” are introduced without further explanation. F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ollowing the structure presented above, one might get lost reading the layout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rPr>
                <w:lang w:val="es-ES"/>
              </w:rPr>
            </w:pPr>
            <w:r>
              <w:rPr>
                <w:rFonts w:cs="Arial"/>
                <w:sz w:val="22"/>
                <w:szCs w:val="22"/>
              </w:rPr>
              <w:t>Explain terms “body”, “segment” before using them in the table. For simplicity we may adapt the description provided in TDM Version 2.0 section 3.1.1 – 3.1.3.</w:t>
            </w:r>
          </w:p>
        </w:tc>
        <w:tc>
          <w:tcPr>
            <w:tcW w:w="2079" w:type="dxa"/>
          </w:tcPr>
          <w:p>
            <w:pPr>
              <w:rPr>
                <w:lang w:val="es-ES"/>
              </w:rPr>
            </w:pP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4-13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4.2.3.1</w:t>
            </w: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rationale explaining why multiple sets of METADATA, DATA can be used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r>
              <w:rPr>
                <w:rFonts w:cs="Arial"/>
                <w:sz w:val="22"/>
                <w:szCs w:val="22"/>
              </w:rPr>
              <w:t xml:space="preserve">Introduce a small comment justifying the need for this. </w:t>
            </w:r>
            <w:r>
              <w:rPr>
                <w:rFonts w:cs="Arial"/>
                <w:sz w:val="22"/>
                <w:szCs w:val="22"/>
              </w:rPr>
              <w:t>For simplicity we may adapt the description provided in TDM Version 2.0 section 3.</w:t>
            </w:r>
            <w:r>
              <w:rPr>
                <w:rFonts w:cs="Arial"/>
                <w:sz w:val="22"/>
                <w:szCs w:val="22"/>
              </w:rPr>
              <w:t>3.1.1 …</w:t>
            </w: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Consistent usage of references shall be used. Sometimes ref. [x] is used, sometimes only [x], sometimes reference [x]… The same applies to cross-references in the document like sections or tables.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consistent method in whole document</w:t>
            </w:r>
          </w:p>
        </w:tc>
        <w:tc>
          <w:tcPr>
            <w:tcW w:w="2079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4-16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4-3</w:t>
            </w: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In the description of ATTITUDE_TYPE, the format should refer to the attitude information contained in the attitude ephemeris data lines and not to “the data lines” as a whole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Replace first sentence by: “The format of the attitude information in the attitude ephemeris data lines …”</w:t>
            </w:r>
          </w:p>
        </w:tc>
        <w:tc>
          <w:tcPr>
            <w:tcW w:w="2079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4.2.5</w:t>
            </w: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Attitude Ephemeris Data Lines is introduced as a new subsection. Shouldn’t it be included in 4.2.4 AEM DATA subsection?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it a sub-subsection of 4.2.4</w:t>
            </w:r>
          </w:p>
        </w:tc>
        <w:tc>
          <w:tcPr>
            <w:tcW w:w="2079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4-17,</w:t>
            </w:r>
          </w:p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4-18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4.2.5.2</w:t>
            </w:r>
          </w:p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4-4</w:t>
            </w:r>
          </w:p>
        </w:tc>
        <w:tc>
          <w:tcPr>
            <w:tcW w:w="684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reference to ANNEX C shall be introduced in or above table 4-4 to show the reader where the attitude </w:t>
            </w:r>
            <w:r>
              <w:rPr>
                <w:rFonts w:cs="Arial"/>
                <w:sz w:val="22"/>
                <w:szCs w:val="22"/>
              </w:rPr>
              <w:lastRenderedPageBreak/>
              <w:t>conventions are defined. In Table 3-3, a small definition of quaternions is presented for instance.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Ralph Kahle / DLR</w:t>
            </w:r>
          </w:p>
        </w:tc>
        <w:tc>
          <w:tcPr>
            <w:tcW w:w="270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Cross-reference Annex C for clarification of attitude conventions. This can be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done by adding e.g. under 4.2.5.2: See Annex C for attitude conventions and definitions. </w:t>
            </w:r>
          </w:p>
        </w:tc>
        <w:tc>
          <w:tcPr>
            <w:tcW w:w="2079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4-19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4.2.5.4</w:t>
            </w:r>
          </w:p>
        </w:tc>
        <w:tc>
          <w:tcPr>
            <w:tcW w:w="684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State somewhere that examples of AEM files are provided in ANNEX D. Otherwise the reader just sees the definition without proper examples.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cross-reference to ANNEX D</w:t>
            </w:r>
          </w:p>
        </w:tc>
        <w:tc>
          <w:tcPr>
            <w:tcW w:w="2079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C-4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C3</w:t>
            </w:r>
          </w:p>
        </w:tc>
        <w:tc>
          <w:tcPr>
            <w:tcW w:w="684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small clarification could be introduced stating that Euler angles represent a set of </w:t>
            </w:r>
            <w:r>
              <w:rPr>
                <w:rFonts w:cs="Arial"/>
                <w:b/>
                <w:sz w:val="22"/>
                <w:szCs w:val="22"/>
              </w:rPr>
              <w:t>intrinsic</w:t>
            </w:r>
            <w:r>
              <w:rPr>
                <w:rFonts w:cs="Arial"/>
                <w:sz w:val="22"/>
                <w:szCs w:val="22"/>
              </w:rPr>
              <w:t xml:space="preserve"> rotations (and not extrinsic). Meaning that the rotations occur about the axes of a coordinate system attached to a moving (rotating) body. And not about a fixed set of axes.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first line, add “… 3 successive </w:t>
            </w:r>
            <w:r>
              <w:rPr>
                <w:b/>
                <w:sz w:val="22"/>
                <w:szCs w:val="22"/>
              </w:rPr>
              <w:t>intrinsic</w:t>
            </w:r>
            <w:r>
              <w:rPr>
                <w:sz w:val="22"/>
                <w:szCs w:val="22"/>
              </w:rPr>
              <w:t xml:space="preserve"> rotations…”</w:t>
            </w: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Missing change log </w:t>
            </w:r>
            <w:proofErr w:type="spellStart"/>
            <w:r>
              <w:rPr>
                <w:rFonts w:cs="Arial"/>
                <w:sz w:val="22"/>
                <w:szCs w:val="22"/>
              </w:rPr>
              <w:t>w.r.t.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Version 1 of the document (changes in ADM format are well addressed in Annex E).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Ralph Kahle / DLR</w:t>
            </w: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 change log. For example, see </w:t>
            </w:r>
            <w:r>
              <w:rPr>
                <w:rFonts w:cs="Arial"/>
                <w:sz w:val="22"/>
                <w:szCs w:val="22"/>
              </w:rPr>
              <w:t xml:space="preserve">TDM Version 2.0 </w:t>
            </w:r>
            <w:r>
              <w:rPr>
                <w:rFonts w:cs="Arial"/>
                <w:sz w:val="22"/>
                <w:szCs w:val="22"/>
              </w:rPr>
              <w:t>section 1.2.6 …</w:t>
            </w: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  <w:tr>
        <w:trPr>
          <w:jc w:val="center"/>
        </w:trPr>
        <w:tc>
          <w:tcPr>
            <w:tcW w:w="810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/>
        </w:tc>
      </w:tr>
    </w:tbl>
    <w:p/>
    <w:sectPr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(Type:  </w:t>
    </w:r>
    <w:proofErr w:type="spellStart"/>
    <w:r>
      <w:rPr>
        <w:sz w:val="16"/>
        <w:szCs w:val="16"/>
      </w:rPr>
      <w:t>ge</w:t>
    </w:r>
    <w:proofErr w:type="spellEnd"/>
    <w:r>
      <w:rPr>
        <w:sz w:val="16"/>
        <w:szCs w:val="16"/>
      </w:rPr>
      <w:t xml:space="preserve"> = general, </w:t>
    </w:r>
    <w:proofErr w:type="spellStart"/>
    <w:r>
      <w:rPr>
        <w:sz w:val="16"/>
        <w:szCs w:val="16"/>
      </w:rPr>
      <w:t>te</w:t>
    </w:r>
    <w:proofErr w:type="spellEnd"/>
    <w:r>
      <w:rPr>
        <w:sz w:val="16"/>
        <w:szCs w:val="16"/>
      </w:rPr>
      <w:t xml:space="preserve"> = technical, ed = editorial)</w:t>
    </w:r>
  </w:p>
  <w:p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erschrift1"/>
      <w:rPr>
        <w:bCs/>
        <w:color w:val="3366FF"/>
        <w:sz w:val="22"/>
        <w:lang w:val="fr-FR"/>
      </w:rPr>
    </w:pPr>
    <w:r>
      <w:rPr>
        <w:bCs/>
        <w:color w:val="3366FF"/>
        <w:sz w:val="22"/>
        <w:lang w:val="fr-FR"/>
      </w:rPr>
      <w:t xml:space="preserve">COMMENT RESOLUTION </w:t>
    </w:r>
    <w:proofErr w:type="gramStart"/>
    <w:r>
      <w:rPr>
        <w:bCs/>
        <w:color w:val="3366FF"/>
        <w:sz w:val="22"/>
        <w:lang w:val="fr-FR"/>
      </w:rPr>
      <w:t>MATRIX:</w:t>
    </w:r>
    <w:proofErr w:type="gramEnd"/>
    <w:r>
      <w:rPr>
        <w:bCs/>
        <w:color w:val="3366FF"/>
        <w:sz w:val="22"/>
        <w:lang w:val="fr-FR"/>
      </w:rPr>
      <w:t xml:space="preserve">  Attitude Data Messages P1.10 - July 2020</w:t>
    </w:r>
  </w:p>
  <w:p/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DADB55-88C4-40FC-8024-BCB13B6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Textkrper">
    <w:name w:val="Body Text"/>
    <w:basedOn w:val="Standard"/>
    <w:semiHidden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Standard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Kopfzeile">
    <w:name w:val="header"/>
    <w:basedOn w:val="Standard"/>
    <w:semiHidden/>
    <w:pPr>
      <w:tabs>
        <w:tab w:val="center" w:pos="7200"/>
        <w:tab w:val="right" w:pos="14400"/>
      </w:tabs>
    </w:pPr>
    <w:rPr>
      <w:b/>
      <w:sz w:val="18"/>
    </w:rPr>
  </w:style>
  <w:style w:type="paragraph" w:styleId="Fuzeile">
    <w:name w:val="footer"/>
    <w:basedOn w:val="Standard"/>
    <w:semiHidden/>
    <w:pPr>
      <w:tabs>
        <w:tab w:val="center" w:pos="7200"/>
        <w:tab w:val="right" w:pos="14400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Textkrper-Zeileneinzug">
    <w:name w:val="Body Text Indent"/>
    <w:basedOn w:val="Standard"/>
    <w:semiHidden/>
    <w:pPr>
      <w:ind w:left="720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el">
    <w:name w:val="Title"/>
    <w:aliases w:val="Tables"/>
    <w:basedOn w:val="Standard"/>
    <w:qFormat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qFormat/>
    <w:rPr>
      <w:b/>
      <w:bCs/>
      <w:i w:val="0"/>
      <w:iCs w:val="0"/>
    </w:rPr>
  </w:style>
  <w:style w:type="paragraph" w:customStyle="1" w:styleId="Normal1stpara">
    <w:name w:val="Normal 1st para"/>
    <w:basedOn w:val="Standard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81459-ADDA-44E8-9D69-6E909F6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2365</Characters>
  <Application>Microsoft Office Word</Application>
  <DocSecurity>0</DocSecurity>
  <Lines>262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Kahle, Ralph</cp:lastModifiedBy>
  <cp:revision>16</cp:revision>
  <cp:lastPrinted>2003-02-28T21:24:00Z</cp:lastPrinted>
  <dcterms:created xsi:type="dcterms:W3CDTF">2019-07-05T12:36:00Z</dcterms:created>
  <dcterms:modified xsi:type="dcterms:W3CDTF">2020-09-25T13:58:00Z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