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B12CAC" w:rsidRPr="00C635BB" w14:paraId="722CC733" w14:textId="77777777" w:rsidTr="00824409">
        <w:trPr>
          <w:jc w:val="center"/>
        </w:trPr>
        <w:tc>
          <w:tcPr>
            <w:tcW w:w="810" w:type="dxa"/>
            <w:shd w:val="clear" w:color="auto" w:fill="92D050"/>
          </w:tcPr>
          <w:p w14:paraId="5489CCB6" w14:textId="49F5872D" w:rsidR="00B12CAC" w:rsidRPr="002730B3" w:rsidRDefault="002730B3" w:rsidP="002730B3">
            <w:r>
              <w:t>4-1</w:t>
            </w:r>
          </w:p>
        </w:tc>
        <w:tc>
          <w:tcPr>
            <w:tcW w:w="1062" w:type="dxa"/>
            <w:shd w:val="clear" w:color="auto" w:fill="92D050"/>
          </w:tcPr>
          <w:p w14:paraId="457F47F2" w14:textId="298AD345" w:rsidR="00B12CAC" w:rsidRPr="002730B3" w:rsidRDefault="002730B3" w:rsidP="002730B3">
            <w:r>
              <w:t>4.1</w:t>
            </w:r>
          </w:p>
        </w:tc>
        <w:tc>
          <w:tcPr>
            <w:tcW w:w="684" w:type="dxa"/>
            <w:shd w:val="clear" w:color="auto" w:fill="92D050"/>
          </w:tcPr>
          <w:p w14:paraId="3EF7E2FC" w14:textId="419D8073" w:rsidR="00B12CAC" w:rsidRPr="002730B3" w:rsidRDefault="002730B3" w:rsidP="002730B3">
            <w: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92D050"/>
          </w:tcPr>
          <w:p w14:paraId="46CBAFBE" w14:textId="380923B1" w:rsidR="00B12CAC" w:rsidRPr="002730B3" w:rsidRDefault="002730B3" w:rsidP="002730B3">
            <w:proofErr w:type="spellStart"/>
            <w: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21EFD5" w14:textId="6BA55AE9" w:rsidR="00B12CAC" w:rsidRPr="002730B3" w:rsidRDefault="002730B3" w:rsidP="002730B3">
            <w:r>
              <w:t>The meaning of this term is not clear to me. Could it not be more explicit?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2D050"/>
          </w:tcPr>
          <w:p w14:paraId="23FA6FC2" w14:textId="50AA8201" w:rsidR="00B12CAC" w:rsidRPr="002730B3" w:rsidRDefault="004E062E" w:rsidP="002730B3">
            <w:r>
              <w:t xml:space="preserve">Brigitte </w:t>
            </w:r>
            <w:proofErr w:type="spellStart"/>
            <w:r>
              <w:t>Behal</w:t>
            </w:r>
            <w:proofErr w:type="spellEnd"/>
            <w:r>
              <w:t>/CNES</w:t>
            </w:r>
          </w:p>
        </w:tc>
        <w:tc>
          <w:tcPr>
            <w:tcW w:w="2700" w:type="dxa"/>
            <w:shd w:val="clear" w:color="auto" w:fill="92D050"/>
          </w:tcPr>
          <w:p w14:paraId="599E33DA" w14:textId="484AE63C" w:rsidR="00B12CAC" w:rsidRPr="002730B3" w:rsidRDefault="00B12CAC" w:rsidP="002730B3"/>
        </w:tc>
        <w:tc>
          <w:tcPr>
            <w:tcW w:w="2079" w:type="dxa"/>
            <w:shd w:val="clear" w:color="auto" w:fill="92D050"/>
          </w:tcPr>
          <w:p w14:paraId="25380BE3" w14:textId="0B425BA8" w:rsidR="00211DA0" w:rsidRPr="002730B3" w:rsidRDefault="006F4005" w:rsidP="002730B3">
            <w:r>
              <w:t>Complete. Modified test to add definition per the</w:t>
            </w:r>
            <w:r w:rsidR="004E062E">
              <w:t xml:space="preserve"> term </w:t>
            </w:r>
            <w:r>
              <w:t>a</w:t>
            </w:r>
            <w:r w:rsidR="004E062E">
              <w:t>s defined in SANA glossary of terms</w:t>
            </w:r>
            <w:r w:rsidR="004E062E">
              <w:t xml:space="preserve"> as “</w:t>
            </w:r>
            <w:r w:rsidR="004E062E" w:rsidRPr="004E062E">
              <w:t xml:space="preserve">An entity that has the ability to acquire or broadcast navigation messages. </w:t>
            </w:r>
            <w:proofErr w:type="gramStart"/>
            <w:r w:rsidR="004E062E">
              <w:t xml:space="preserve">“ </w:t>
            </w:r>
            <w:r w:rsidR="004E062E" w:rsidRPr="004E062E">
              <w:t>https://sanaregistry.org/r</w:t>
            </w:r>
            <w:proofErr w:type="spellStart"/>
            <w:r w:rsidR="004E062E" w:rsidRPr="004E062E">
              <w:t>/terms?statu</w:t>
            </w:r>
            <w:proofErr w:type="spellEnd"/>
            <w:r w:rsidR="004E062E" w:rsidRPr="004E062E">
              <w:t>s=&amp;term_0=participant&amp;term_1=iexact&amp;definition_0=&amp;definition_1=iexact&amp;oid=&amp;filter=Apply+filters</w:t>
            </w:r>
            <w:proofErr w:type="gramEnd"/>
          </w:p>
        </w:tc>
      </w:tr>
      <w:tr w:rsidR="00011D27" w:rsidRPr="00C635BB" w14:paraId="371EB239" w14:textId="77777777" w:rsidTr="00824409">
        <w:trPr>
          <w:jc w:val="center"/>
        </w:trPr>
        <w:tc>
          <w:tcPr>
            <w:tcW w:w="810" w:type="dxa"/>
            <w:shd w:val="clear" w:color="auto" w:fill="92D050"/>
          </w:tcPr>
          <w:p w14:paraId="74B16EB9" w14:textId="4F1FEE1A" w:rsidR="00011D27" w:rsidRPr="002730B3" w:rsidRDefault="00011D27" w:rsidP="00011D27">
            <w:r>
              <w:t>4-2</w:t>
            </w:r>
          </w:p>
        </w:tc>
        <w:tc>
          <w:tcPr>
            <w:tcW w:w="1062" w:type="dxa"/>
            <w:shd w:val="clear" w:color="auto" w:fill="92D050"/>
          </w:tcPr>
          <w:p w14:paraId="55F1A9B7" w14:textId="22F4214D" w:rsidR="00011D27" w:rsidRPr="002730B3" w:rsidRDefault="00011D27" w:rsidP="00011D27">
            <w:r>
              <w:t>4.3.3.2</w:t>
            </w:r>
          </w:p>
        </w:tc>
        <w:tc>
          <w:tcPr>
            <w:tcW w:w="684" w:type="dxa"/>
            <w:shd w:val="clear" w:color="auto" w:fill="92D050"/>
          </w:tcPr>
          <w:p w14:paraId="3308AAB9" w14:textId="0AAE3D26" w:rsidR="00011D27" w:rsidRPr="002730B3" w:rsidRDefault="00011D27" w:rsidP="00011D27">
            <w: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92D050"/>
          </w:tcPr>
          <w:p w14:paraId="6E8A3B7E" w14:textId="367B3C3B" w:rsidR="00011D27" w:rsidRPr="002730B3" w:rsidRDefault="00011D27" w:rsidP="00011D27">
            <w:proofErr w:type="spellStart"/>
            <w: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194B22" w14:textId="59E3F00A" w:rsidR="00011D27" w:rsidRPr="002730B3" w:rsidRDefault="00011D27" w:rsidP="00011D27">
            <w:r>
              <w:t xml:space="preserve">Ref the word “bulges”: </w:t>
            </w:r>
            <w:r>
              <w:t>Should it not be singular instead of plural?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2D050"/>
          </w:tcPr>
          <w:p w14:paraId="0D6422A8" w14:textId="50652F59" w:rsidR="00011D27" w:rsidRPr="002730B3" w:rsidRDefault="00011D27" w:rsidP="00011D27">
            <w:r w:rsidRPr="00B81D93">
              <w:t xml:space="preserve">Brigitte </w:t>
            </w:r>
            <w:proofErr w:type="spellStart"/>
            <w:r w:rsidRPr="00B81D93">
              <w:t>Behal</w:t>
            </w:r>
            <w:proofErr w:type="spellEnd"/>
            <w:r w:rsidRPr="00B81D93">
              <w:t>/CNES</w:t>
            </w:r>
          </w:p>
        </w:tc>
        <w:tc>
          <w:tcPr>
            <w:tcW w:w="2700" w:type="dxa"/>
            <w:shd w:val="clear" w:color="auto" w:fill="92D050"/>
          </w:tcPr>
          <w:p w14:paraId="55924F90" w14:textId="4D7DD651" w:rsidR="00011D27" w:rsidRPr="002730B3" w:rsidRDefault="00011D27" w:rsidP="00011D27"/>
        </w:tc>
        <w:tc>
          <w:tcPr>
            <w:tcW w:w="2079" w:type="dxa"/>
            <w:shd w:val="clear" w:color="auto" w:fill="92D050"/>
          </w:tcPr>
          <w:p w14:paraId="69031A8E" w14:textId="5026C85C" w:rsidR="00011D27" w:rsidRPr="002730B3" w:rsidRDefault="00EC51C4" w:rsidP="00011D27">
            <w:r>
              <w:t xml:space="preserve">Complete. </w:t>
            </w:r>
            <w:r w:rsidR="00011D27">
              <w:t>Corrected to ‘bulge’</w:t>
            </w:r>
          </w:p>
        </w:tc>
      </w:tr>
      <w:tr w:rsidR="00011D27" w:rsidRPr="00C635BB" w14:paraId="1364E8E1" w14:textId="77777777" w:rsidTr="00824409">
        <w:trPr>
          <w:jc w:val="center"/>
        </w:trPr>
        <w:tc>
          <w:tcPr>
            <w:tcW w:w="810" w:type="dxa"/>
            <w:shd w:val="clear" w:color="auto" w:fill="92D050"/>
          </w:tcPr>
          <w:p w14:paraId="316F91D2" w14:textId="1344E014" w:rsidR="00011D27" w:rsidRDefault="00011D27" w:rsidP="00011D27">
            <w:r>
              <w:t>4-3</w:t>
            </w:r>
          </w:p>
        </w:tc>
        <w:tc>
          <w:tcPr>
            <w:tcW w:w="1062" w:type="dxa"/>
            <w:shd w:val="clear" w:color="auto" w:fill="92D050"/>
          </w:tcPr>
          <w:p w14:paraId="2039EAE6" w14:textId="71075FB2" w:rsidR="00011D27" w:rsidRDefault="00011D27" w:rsidP="00011D27">
            <w:r>
              <w:t>4.3.4.3</w:t>
            </w:r>
          </w:p>
        </w:tc>
        <w:tc>
          <w:tcPr>
            <w:tcW w:w="684" w:type="dxa"/>
            <w:shd w:val="clear" w:color="auto" w:fill="92D050"/>
          </w:tcPr>
          <w:p w14:paraId="68F54993" w14:textId="0F31612A" w:rsidR="00011D27" w:rsidRDefault="00011D27" w:rsidP="00011D27">
            <w:r>
              <w:t>5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92D050"/>
          </w:tcPr>
          <w:p w14:paraId="25148C4F" w14:textId="68D35A05" w:rsidR="00011D27" w:rsidRDefault="00011D27" w:rsidP="00011D27">
            <w:proofErr w:type="spellStart"/>
            <w: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576880" w14:textId="520F5EC4" w:rsidR="00011D27" w:rsidRDefault="00011D27" w:rsidP="00011D27">
            <w:pPr>
              <w:pStyle w:val="CommentText"/>
            </w:pPr>
            <w:r>
              <w:t>Ref the word “</w:t>
            </w:r>
            <w:proofErr w:type="gramStart"/>
            <w:r>
              <w:t>are</w:t>
            </w:r>
            <w:proofErr w:type="gramEnd"/>
            <w:r>
              <w:t xml:space="preserve">”: </w:t>
            </w:r>
            <w:r>
              <w:t>Are or is? The subject is "the orientation" (singular)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2D050"/>
          </w:tcPr>
          <w:p w14:paraId="5450BA02" w14:textId="6BE9158F" w:rsidR="00011D27" w:rsidRPr="002730B3" w:rsidRDefault="00011D27" w:rsidP="00011D27">
            <w:r w:rsidRPr="00B81D93">
              <w:t xml:space="preserve">Brigitte </w:t>
            </w:r>
            <w:proofErr w:type="spellStart"/>
            <w:r w:rsidRPr="00B81D93">
              <w:t>Behal</w:t>
            </w:r>
            <w:proofErr w:type="spellEnd"/>
            <w:r w:rsidRPr="00B81D93">
              <w:t>/CNES</w:t>
            </w:r>
          </w:p>
        </w:tc>
        <w:tc>
          <w:tcPr>
            <w:tcW w:w="2700" w:type="dxa"/>
            <w:shd w:val="clear" w:color="auto" w:fill="92D050"/>
          </w:tcPr>
          <w:p w14:paraId="37FCD1D1" w14:textId="77777777" w:rsidR="00011D27" w:rsidRPr="002730B3" w:rsidRDefault="00011D27" w:rsidP="00011D27"/>
        </w:tc>
        <w:tc>
          <w:tcPr>
            <w:tcW w:w="2079" w:type="dxa"/>
            <w:shd w:val="clear" w:color="auto" w:fill="92D050"/>
          </w:tcPr>
          <w:p w14:paraId="790A18C3" w14:textId="775F9D23" w:rsidR="00011D27" w:rsidRDefault="00EC51C4" w:rsidP="00011D27">
            <w:r>
              <w:t xml:space="preserve">Complete. </w:t>
            </w:r>
            <w:r w:rsidR="00011D27">
              <w:t>N</w:t>
            </w:r>
            <w:r>
              <w:t>o</w:t>
            </w:r>
            <w:r w:rsidR="00011D27">
              <w:t xml:space="preserve"> C</w:t>
            </w:r>
            <w:r>
              <w:t>hange</w:t>
            </w:r>
            <w:r w:rsidR="00011D27">
              <w:t>: The correct term is “are” since we are referring to two parameters.</w:t>
            </w:r>
          </w:p>
        </w:tc>
      </w:tr>
      <w:tr w:rsidR="00011D27" w:rsidRPr="00C635BB" w14:paraId="09B4821B" w14:textId="77777777" w:rsidTr="00824409">
        <w:trPr>
          <w:jc w:val="center"/>
        </w:trPr>
        <w:tc>
          <w:tcPr>
            <w:tcW w:w="810" w:type="dxa"/>
            <w:shd w:val="clear" w:color="auto" w:fill="92D050"/>
          </w:tcPr>
          <w:p w14:paraId="472258C0" w14:textId="55108A7D" w:rsidR="00011D27" w:rsidRDefault="00011D27" w:rsidP="00011D27">
            <w:r>
              <w:t>4-5</w:t>
            </w:r>
          </w:p>
        </w:tc>
        <w:tc>
          <w:tcPr>
            <w:tcW w:w="1062" w:type="dxa"/>
            <w:shd w:val="clear" w:color="auto" w:fill="92D050"/>
          </w:tcPr>
          <w:p w14:paraId="0BB3974B" w14:textId="6AA219D5" w:rsidR="00011D27" w:rsidRDefault="00011D27" w:rsidP="00011D27">
            <w:r>
              <w:t>Fig 4-1</w:t>
            </w:r>
          </w:p>
        </w:tc>
        <w:tc>
          <w:tcPr>
            <w:tcW w:w="684" w:type="dxa"/>
            <w:shd w:val="clear" w:color="auto" w:fill="92D050"/>
          </w:tcPr>
          <w:p w14:paraId="03BFCE0C" w14:textId="3D104833" w:rsidR="00011D27" w:rsidRDefault="00011D27" w:rsidP="00011D27">
            <w:r>
              <w:t>Right middle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92D050"/>
          </w:tcPr>
          <w:p w14:paraId="705065DE" w14:textId="2D33BEAC" w:rsidR="00011D27" w:rsidRDefault="00011D27" w:rsidP="00011D27">
            <w:proofErr w:type="spellStart"/>
            <w: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60E8BD" w14:textId="50152FAB" w:rsidR="00011D27" w:rsidRDefault="00011D27" w:rsidP="00011D27">
            <w:pPr>
              <w:pStyle w:val="CommentText"/>
            </w:pPr>
            <w:r>
              <w:t xml:space="preserve">Ref middle block on right: </w:t>
            </w:r>
            <w:r w:rsidRPr="000D18B4">
              <w:rPr>
                <w:sz w:val="18"/>
                <w:szCs w:val="18"/>
              </w:rPr>
              <w:t>"t" is not really visible on my screen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2D050"/>
          </w:tcPr>
          <w:p w14:paraId="3BCD7480" w14:textId="09D03AEC" w:rsidR="00011D27" w:rsidRPr="002730B3" w:rsidRDefault="00011D27" w:rsidP="00011D27">
            <w:r w:rsidRPr="00B81D93">
              <w:t xml:space="preserve">Brigitte </w:t>
            </w:r>
            <w:proofErr w:type="spellStart"/>
            <w:r w:rsidRPr="00B81D93">
              <w:t>Behal</w:t>
            </w:r>
            <w:proofErr w:type="spellEnd"/>
            <w:r w:rsidRPr="00B81D93">
              <w:t>/CNES</w:t>
            </w:r>
          </w:p>
        </w:tc>
        <w:tc>
          <w:tcPr>
            <w:tcW w:w="2700" w:type="dxa"/>
            <w:shd w:val="clear" w:color="auto" w:fill="92D050"/>
          </w:tcPr>
          <w:p w14:paraId="53FB242C" w14:textId="77777777" w:rsidR="00011D27" w:rsidRPr="002730B3" w:rsidRDefault="00011D27" w:rsidP="00011D27"/>
        </w:tc>
        <w:tc>
          <w:tcPr>
            <w:tcW w:w="2079" w:type="dxa"/>
            <w:shd w:val="clear" w:color="auto" w:fill="92D050"/>
          </w:tcPr>
          <w:p w14:paraId="64A7855F" w14:textId="6BFE533F" w:rsidR="00011D27" w:rsidRDefault="00824409" w:rsidP="00011D27">
            <w:r>
              <w:t xml:space="preserve">Complete. No change. </w:t>
            </w:r>
            <w:r w:rsidR="00011D27">
              <w:t>This figure is grandfathered in, per agreement by the group.</w:t>
            </w:r>
            <w:r>
              <w:t xml:space="preserve"> Perhaps the Editor could assist with this item.</w:t>
            </w:r>
          </w:p>
        </w:tc>
      </w:tr>
      <w:tr w:rsidR="00011D27" w:rsidRPr="00C635BB" w14:paraId="69653334" w14:textId="77777777" w:rsidTr="00931BDB">
        <w:trPr>
          <w:jc w:val="center"/>
        </w:trPr>
        <w:tc>
          <w:tcPr>
            <w:tcW w:w="810" w:type="dxa"/>
            <w:shd w:val="clear" w:color="auto" w:fill="92D050"/>
          </w:tcPr>
          <w:p w14:paraId="1C795536" w14:textId="3A959AD4" w:rsidR="00011D27" w:rsidRDefault="00011D27" w:rsidP="00011D27">
            <w:r>
              <w:t>4-11</w:t>
            </w:r>
          </w:p>
        </w:tc>
        <w:tc>
          <w:tcPr>
            <w:tcW w:w="1062" w:type="dxa"/>
            <w:shd w:val="clear" w:color="auto" w:fill="92D050"/>
          </w:tcPr>
          <w:p w14:paraId="75C6AE1D" w14:textId="123A9BED" w:rsidR="00011D27" w:rsidRDefault="00011D27" w:rsidP="00011D27">
            <w:r>
              <w:t>4.4.2.2.4</w:t>
            </w:r>
          </w:p>
        </w:tc>
        <w:tc>
          <w:tcPr>
            <w:tcW w:w="684" w:type="dxa"/>
            <w:shd w:val="clear" w:color="auto" w:fill="92D050"/>
          </w:tcPr>
          <w:p w14:paraId="621282E6" w14:textId="6D7C82F9" w:rsidR="00011D27" w:rsidRDefault="00011D27" w:rsidP="00011D27">
            <w:r>
              <w:t>4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92D050"/>
          </w:tcPr>
          <w:p w14:paraId="7B348ED6" w14:textId="556DE2B0" w:rsidR="00011D27" w:rsidRDefault="00011D27" w:rsidP="00011D27">
            <w:proofErr w:type="spellStart"/>
            <w: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58AD6A" w14:textId="6A6A5337" w:rsidR="00011D27" w:rsidRDefault="00011D27" w:rsidP="00011D27">
            <w:pPr>
              <w:pStyle w:val="CommentText"/>
            </w:pPr>
            <w:r>
              <w:t xml:space="preserve">Not clear to me: does that mean </w:t>
            </w:r>
            <w:r>
              <w:rPr>
                <w:rFonts w:ascii="Asap" w:hAnsi="Asap"/>
                <w:color w:val="353C52"/>
                <w:sz w:val="21"/>
                <w:szCs w:val="21"/>
              </w:rPr>
              <w:t>6-Jan-1980 at 0h?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2D050"/>
          </w:tcPr>
          <w:p w14:paraId="27019726" w14:textId="53E7BA36" w:rsidR="00011D27" w:rsidRPr="002730B3" w:rsidRDefault="00011D27" w:rsidP="00011D27">
            <w:r w:rsidRPr="00B81D93">
              <w:t xml:space="preserve">Brigitte </w:t>
            </w:r>
            <w:proofErr w:type="spellStart"/>
            <w:r w:rsidRPr="00B81D93">
              <w:t>Behal</w:t>
            </w:r>
            <w:proofErr w:type="spellEnd"/>
            <w:r w:rsidRPr="00B81D93">
              <w:t>/CNES</w:t>
            </w:r>
          </w:p>
        </w:tc>
        <w:tc>
          <w:tcPr>
            <w:tcW w:w="2700" w:type="dxa"/>
            <w:shd w:val="clear" w:color="auto" w:fill="92D050"/>
          </w:tcPr>
          <w:p w14:paraId="031045E7" w14:textId="77777777" w:rsidR="00011D27" w:rsidRPr="002730B3" w:rsidRDefault="00011D27" w:rsidP="00011D27"/>
        </w:tc>
        <w:tc>
          <w:tcPr>
            <w:tcW w:w="2079" w:type="dxa"/>
            <w:shd w:val="clear" w:color="auto" w:fill="92D050"/>
          </w:tcPr>
          <w:p w14:paraId="22567221" w14:textId="677D493C" w:rsidR="00011D27" w:rsidRDefault="00011D27" w:rsidP="00011D27">
            <w:r>
              <w:t>Complete: changed to state 0h 1980 January 6.</w:t>
            </w:r>
          </w:p>
        </w:tc>
      </w:tr>
      <w:tr w:rsidR="00011D27" w:rsidRPr="00C635BB" w14:paraId="33DAFAE1" w14:textId="77777777" w:rsidTr="00931BDB">
        <w:trPr>
          <w:jc w:val="center"/>
        </w:trPr>
        <w:tc>
          <w:tcPr>
            <w:tcW w:w="810" w:type="dxa"/>
            <w:shd w:val="clear" w:color="auto" w:fill="92D050"/>
          </w:tcPr>
          <w:p w14:paraId="2A7CDE99" w14:textId="713AA995" w:rsidR="00011D27" w:rsidRDefault="00011D27" w:rsidP="00011D27">
            <w:r>
              <w:t>4-13</w:t>
            </w:r>
          </w:p>
        </w:tc>
        <w:tc>
          <w:tcPr>
            <w:tcW w:w="1062" w:type="dxa"/>
            <w:shd w:val="clear" w:color="auto" w:fill="92D050"/>
          </w:tcPr>
          <w:p w14:paraId="13746243" w14:textId="7C45332A" w:rsidR="00011D27" w:rsidRDefault="00011D27" w:rsidP="00011D27">
            <w:r>
              <w:t>4.4.2.3.2</w:t>
            </w:r>
          </w:p>
        </w:tc>
        <w:tc>
          <w:tcPr>
            <w:tcW w:w="684" w:type="dxa"/>
            <w:shd w:val="clear" w:color="auto" w:fill="92D050"/>
          </w:tcPr>
          <w:p w14:paraId="72EA4D2C" w14:textId="05C8CEA5" w:rsidR="00011D27" w:rsidRDefault="00011D27" w:rsidP="00011D27">
            <w:r>
              <w:t>4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92D050"/>
          </w:tcPr>
          <w:p w14:paraId="219F90F7" w14:textId="7FE5D118" w:rsidR="00011D27" w:rsidRDefault="00011D27" w:rsidP="00011D27">
            <w:proofErr w:type="spellStart"/>
            <w: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7989BC" w14:textId="77777777" w:rsidR="00011D27" w:rsidRDefault="00011D27" w:rsidP="00011D27">
            <w:pPr>
              <w:pStyle w:val="CommentText"/>
            </w:pPr>
            <w:r>
              <w:t xml:space="preserve">Ref [s(TCB)/s(TDB)]:  </w:t>
            </w:r>
            <w:r>
              <w:t>Not clear to me. What is the s function?</w:t>
            </w:r>
          </w:p>
          <w:p w14:paraId="28A5C96A" w14:textId="77777777" w:rsidR="00011D27" w:rsidRDefault="00011D27" w:rsidP="00011D27">
            <w:pPr>
              <w:pStyle w:val="CommentText"/>
            </w:pPr>
            <w:r>
              <w:t xml:space="preserve">I found the following relationship in the </w:t>
            </w:r>
            <w:r>
              <w:lastRenderedPageBreak/>
              <w:t xml:space="preserve">literature: </w:t>
            </w:r>
          </w:p>
          <w:p w14:paraId="7B2CB25C" w14:textId="77777777" w:rsidR="00011D27" w:rsidRDefault="00011D27" w:rsidP="00011D27">
            <w:pPr>
              <w:pStyle w:val="CommentText"/>
            </w:pPr>
            <w:r>
              <w:t>TCB - TDB = 1.550505e-08 x (JD -2443144.5) x 86400, JD being the Julian Date</w:t>
            </w:r>
          </w:p>
          <w:p w14:paraId="7CC35EDE" w14:textId="77777777" w:rsidR="00011D27" w:rsidRDefault="00011D27" w:rsidP="00011D27">
            <w:pPr>
              <w:pStyle w:val="CommentText"/>
            </w:pPr>
          </w:p>
          <w:p w14:paraId="6E1B56C4" w14:textId="77777777" w:rsidR="00011D27" w:rsidRDefault="00011D27" w:rsidP="00011D27">
            <w:pPr>
              <w:pStyle w:val="CommentText"/>
            </w:pPr>
            <w:r>
              <w:t xml:space="preserve">Could the definition of </w:t>
            </w:r>
            <w:proofErr w:type="spellStart"/>
            <w:r>
              <w:t>Lb</w:t>
            </w:r>
            <w:proofErr w:type="spellEnd"/>
            <w:r>
              <w:t xml:space="preserve"> be more explicit?</w:t>
            </w:r>
          </w:p>
          <w:p w14:paraId="01891080" w14:textId="2B38F772" w:rsidR="00011D27" w:rsidRDefault="00011D27" w:rsidP="00011D27">
            <w:pPr>
              <w:pStyle w:val="CommentText"/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2D050"/>
          </w:tcPr>
          <w:p w14:paraId="024ABDE5" w14:textId="4869D52F" w:rsidR="00011D27" w:rsidRPr="002730B3" w:rsidRDefault="00011D27" w:rsidP="00011D27">
            <w:r w:rsidRPr="00B81D93">
              <w:lastRenderedPageBreak/>
              <w:t xml:space="preserve">Brigitte </w:t>
            </w:r>
            <w:proofErr w:type="spellStart"/>
            <w:r w:rsidRPr="00B81D93">
              <w:t>Behal</w:t>
            </w:r>
            <w:proofErr w:type="spellEnd"/>
            <w:r w:rsidRPr="00B81D93">
              <w:t>/CNES</w:t>
            </w:r>
          </w:p>
        </w:tc>
        <w:tc>
          <w:tcPr>
            <w:tcW w:w="2700" w:type="dxa"/>
            <w:shd w:val="clear" w:color="auto" w:fill="92D050"/>
          </w:tcPr>
          <w:p w14:paraId="0863A0EF" w14:textId="77777777" w:rsidR="00011D27" w:rsidRPr="002730B3" w:rsidRDefault="00011D27" w:rsidP="00011D27"/>
        </w:tc>
        <w:tc>
          <w:tcPr>
            <w:tcW w:w="2079" w:type="dxa"/>
            <w:shd w:val="clear" w:color="auto" w:fill="92D050"/>
          </w:tcPr>
          <w:p w14:paraId="335BB485" w14:textId="35C796A1" w:rsidR="00011D27" w:rsidRDefault="00B31539" w:rsidP="00011D27">
            <w:r>
              <w:t>Complete. ‘s’</w:t>
            </w:r>
            <w:r w:rsidR="00011D27">
              <w:t xml:space="preserve"> merely refers to the fact that the equation holds for </w:t>
            </w:r>
            <w:r w:rsidR="00011D27">
              <w:lastRenderedPageBreak/>
              <w:t>times given in seconds for those systems.</w:t>
            </w:r>
          </w:p>
          <w:p w14:paraId="7121AC46" w14:textId="67B6AA59" w:rsidR="00011D27" w:rsidRDefault="00011D27" w:rsidP="00011D27">
            <w:r>
              <w:t xml:space="preserve">I don’t understand </w:t>
            </w:r>
            <w:proofErr w:type="gramStart"/>
            <w:r>
              <w:t>the  question</w:t>
            </w:r>
            <w:proofErr w:type="gramEnd"/>
            <w:r>
              <w:t xml:space="preserve"> posed by providing the relationship</w:t>
            </w:r>
            <w:r w:rsidR="00B31539">
              <w:t xml:space="preserve"> in the comment</w:t>
            </w:r>
            <w:r>
              <w:t xml:space="preserve">.  LB is a constant employed to define the linear relationship between TCB and TDB. </w:t>
            </w:r>
            <w:r w:rsidR="00B31539">
              <w:t xml:space="preserve"> </w:t>
            </w:r>
            <w:r w:rsidR="00931BDB">
              <w:t>Sentence amended to read “</w:t>
            </w:r>
            <w:r w:rsidR="00931BDB">
              <w:t>Using L</w:t>
            </w:r>
            <w:r w:rsidR="00931BDB" w:rsidRPr="000B5F9D">
              <w:rPr>
                <w:vertAlign w:val="subscript"/>
              </w:rPr>
              <w:t>B</w:t>
            </w:r>
            <w:r w:rsidR="00931BDB">
              <w:t xml:space="preserve"> as a constant employed to define the linear relationship, </w:t>
            </w:r>
            <w:r w:rsidR="00931BDB">
              <w:t xml:space="preserve">when defined in units of seconds (s), </w:t>
            </w:r>
            <w:r w:rsidR="00931BDB" w:rsidRPr="009C6D21">
              <w:t>TCB and TDB exhibit a scale difference of</w:t>
            </w:r>
            <w:r w:rsidR="00931BDB">
              <w:t xml:space="preserve">” 9followed by </w:t>
            </w:r>
            <w:proofErr w:type="spellStart"/>
            <w:r w:rsidR="00931BDB">
              <w:t>equn</w:t>
            </w:r>
            <w:proofErr w:type="spellEnd"/>
            <w:r w:rsidR="00931BDB">
              <w:t>.</w:t>
            </w:r>
          </w:p>
        </w:tc>
      </w:tr>
      <w:tr w:rsidR="00011D27" w:rsidRPr="00C635BB" w14:paraId="2EA8D017" w14:textId="77777777" w:rsidTr="00931BDB">
        <w:trPr>
          <w:jc w:val="center"/>
        </w:trPr>
        <w:tc>
          <w:tcPr>
            <w:tcW w:w="810" w:type="dxa"/>
            <w:shd w:val="clear" w:color="auto" w:fill="92D050"/>
          </w:tcPr>
          <w:p w14:paraId="6CFE5BC5" w14:textId="701CAEC5" w:rsidR="00011D27" w:rsidRDefault="00011D27" w:rsidP="00011D27">
            <w:r>
              <w:lastRenderedPageBreak/>
              <w:t>4-13</w:t>
            </w:r>
          </w:p>
        </w:tc>
        <w:tc>
          <w:tcPr>
            <w:tcW w:w="1062" w:type="dxa"/>
            <w:shd w:val="clear" w:color="auto" w:fill="92D050"/>
          </w:tcPr>
          <w:p w14:paraId="75139524" w14:textId="79AF9389" w:rsidR="00011D27" w:rsidRDefault="00011D27" w:rsidP="00011D27">
            <w:r>
              <w:t>4.4.2.3.2</w:t>
            </w:r>
          </w:p>
        </w:tc>
        <w:tc>
          <w:tcPr>
            <w:tcW w:w="684" w:type="dxa"/>
            <w:shd w:val="clear" w:color="auto" w:fill="92D050"/>
          </w:tcPr>
          <w:p w14:paraId="0B4D7A98" w14:textId="5FBBD99E" w:rsidR="00011D27" w:rsidRDefault="00011D27" w:rsidP="00011D27">
            <w:r>
              <w:t>6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92D050"/>
          </w:tcPr>
          <w:p w14:paraId="3664DE14" w14:textId="2439E048" w:rsidR="00011D27" w:rsidRDefault="00011D27" w:rsidP="00011D27">
            <w:proofErr w:type="spellStart"/>
            <w: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A87C55" w14:textId="7092D762" w:rsidR="00011D27" w:rsidRDefault="00011D27" w:rsidP="00011D27">
            <w:pPr>
              <w:pStyle w:val="CommentText"/>
            </w:pPr>
            <w:r>
              <w:t xml:space="preserve">Ref </w:t>
            </w:r>
            <w:proofErr w:type="gramStart"/>
            <w:r>
              <w:t>“ *</w:t>
            </w:r>
            <w:proofErr w:type="gramEnd"/>
            <w:r>
              <w:t xml:space="preserve">(year-1977.0) :  </w:t>
            </w:r>
            <w:r>
              <w:t xml:space="preserve">I do not understand. If I apply the previous relationship, I find that TCB –TDB = </w:t>
            </w:r>
            <w:r w:rsidRPr="003776F3">
              <w:t xml:space="preserve">0,48896726 s </w:t>
            </w:r>
            <w:r w:rsidRPr="00006BE1">
              <w:t>per year</w:t>
            </w:r>
            <w:r>
              <w:t>. What is the meaning of "(* year-1977.0)"?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2D050"/>
          </w:tcPr>
          <w:p w14:paraId="18B6A545" w14:textId="4F725E78" w:rsidR="00011D27" w:rsidRPr="002730B3" w:rsidRDefault="00011D27" w:rsidP="00011D27">
            <w:r w:rsidRPr="00B81D93">
              <w:t xml:space="preserve">Brigitte </w:t>
            </w:r>
            <w:proofErr w:type="spellStart"/>
            <w:r w:rsidRPr="00B81D93">
              <w:t>Behal</w:t>
            </w:r>
            <w:proofErr w:type="spellEnd"/>
            <w:r w:rsidRPr="00B81D93">
              <w:t>/CNES</w:t>
            </w:r>
          </w:p>
        </w:tc>
        <w:tc>
          <w:tcPr>
            <w:tcW w:w="2700" w:type="dxa"/>
            <w:shd w:val="clear" w:color="auto" w:fill="92D050"/>
          </w:tcPr>
          <w:p w14:paraId="31EEFA1F" w14:textId="77777777" w:rsidR="00011D27" w:rsidRPr="002730B3" w:rsidRDefault="00011D27" w:rsidP="00011D27"/>
        </w:tc>
        <w:tc>
          <w:tcPr>
            <w:tcW w:w="2079" w:type="dxa"/>
            <w:shd w:val="clear" w:color="auto" w:fill="92D050"/>
          </w:tcPr>
          <w:p w14:paraId="37FE37A0" w14:textId="20554139" w:rsidR="00011D27" w:rsidRPr="007C23B9" w:rsidRDefault="00931BDB" w:rsidP="00011D27">
            <w:pPr>
              <w:pStyle w:val="NormalWeb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Complete. No Change. </w:t>
            </w:r>
            <w:r w:rsidR="00011D27" w:rsidRPr="007C23B9">
              <w:rPr>
                <w:rFonts w:ascii="Arial" w:hAnsi="Arial" w:cs="Arial"/>
                <w:sz w:val="20"/>
              </w:rPr>
              <w:t xml:space="preserve">The relationship holds starting with year 1977, which is when the IAU defined and aligned the terms TDB, TT, TCG, and TCB. </w:t>
            </w:r>
            <w:r>
              <w:rPr>
                <w:rFonts w:ascii="Arial" w:hAnsi="Arial" w:cs="Arial"/>
                <w:sz w:val="20"/>
              </w:rPr>
              <w:t>This is common nomenclature.</w:t>
            </w:r>
          </w:p>
        </w:tc>
      </w:tr>
      <w:tr w:rsidR="00011D27" w:rsidRPr="00C635BB" w14:paraId="44E44C23" w14:textId="77777777" w:rsidTr="00931BDB">
        <w:trPr>
          <w:jc w:val="center"/>
        </w:trPr>
        <w:tc>
          <w:tcPr>
            <w:tcW w:w="810" w:type="dxa"/>
            <w:shd w:val="clear" w:color="auto" w:fill="92D050"/>
          </w:tcPr>
          <w:p w14:paraId="75709505" w14:textId="3DF043CB" w:rsidR="00011D27" w:rsidRDefault="00011D27" w:rsidP="00011D27">
            <w:r>
              <w:t>4-13</w:t>
            </w:r>
          </w:p>
        </w:tc>
        <w:tc>
          <w:tcPr>
            <w:tcW w:w="1062" w:type="dxa"/>
            <w:shd w:val="clear" w:color="auto" w:fill="92D050"/>
          </w:tcPr>
          <w:p w14:paraId="7B11C9F0" w14:textId="22FD50C3" w:rsidR="00011D27" w:rsidRDefault="00011D27" w:rsidP="00011D27">
            <w:r>
              <w:t>4.4.2.4</w:t>
            </w:r>
          </w:p>
        </w:tc>
        <w:tc>
          <w:tcPr>
            <w:tcW w:w="684" w:type="dxa"/>
            <w:shd w:val="clear" w:color="auto" w:fill="92D050"/>
          </w:tcPr>
          <w:p w14:paraId="747CF665" w14:textId="6B1007B4" w:rsidR="00011D27" w:rsidRDefault="00011D27" w:rsidP="00011D27">
            <w: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92D050"/>
          </w:tcPr>
          <w:p w14:paraId="7905646B" w14:textId="0D9297B3" w:rsidR="00011D27" w:rsidRDefault="00011D27" w:rsidP="00011D27">
            <w:proofErr w:type="spellStart"/>
            <w: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06EC72" w14:textId="4C5DC14A" w:rsidR="00011D27" w:rsidRDefault="00011D27" w:rsidP="00011D27">
            <w:pPr>
              <w:pStyle w:val="CommentText"/>
            </w:pPr>
            <w:r>
              <w:t xml:space="preserve">Ref “the author”:  </w:t>
            </w:r>
            <w:r>
              <w:t>Who is the author of this document? There is no identified author</w:t>
            </w:r>
            <w:r>
              <w:t>.</w:t>
            </w:r>
          </w:p>
          <w:p w14:paraId="5EEA5415" w14:textId="06771901" w:rsidR="00011D27" w:rsidRDefault="00011D27" w:rsidP="00011D27">
            <w:pPr>
              <w:pStyle w:val="CommentText"/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2D050"/>
          </w:tcPr>
          <w:p w14:paraId="5EA8832B" w14:textId="7D42CA6C" w:rsidR="00011D27" w:rsidRPr="002730B3" w:rsidRDefault="00011D27" w:rsidP="00011D27">
            <w:r w:rsidRPr="00B81D93">
              <w:t xml:space="preserve">Brigitte </w:t>
            </w:r>
            <w:proofErr w:type="spellStart"/>
            <w:r w:rsidRPr="00B81D93">
              <w:t>Behal</w:t>
            </w:r>
            <w:proofErr w:type="spellEnd"/>
            <w:r w:rsidRPr="00B81D93">
              <w:t>/CNES</w:t>
            </w:r>
          </w:p>
        </w:tc>
        <w:tc>
          <w:tcPr>
            <w:tcW w:w="2700" w:type="dxa"/>
            <w:shd w:val="clear" w:color="auto" w:fill="92D050"/>
          </w:tcPr>
          <w:p w14:paraId="01BCE4C9" w14:textId="77777777" w:rsidR="00011D27" w:rsidRPr="002730B3" w:rsidRDefault="00011D27" w:rsidP="00011D27"/>
        </w:tc>
        <w:tc>
          <w:tcPr>
            <w:tcW w:w="2079" w:type="dxa"/>
            <w:shd w:val="clear" w:color="auto" w:fill="92D050"/>
          </w:tcPr>
          <w:p w14:paraId="46A1B688" w14:textId="5A2E3E8D" w:rsidR="00011D27" w:rsidRDefault="00931BDB" w:rsidP="00011D27">
            <w:r>
              <w:t xml:space="preserve">Complete. No Change. </w:t>
            </w:r>
            <w:r w:rsidR="00011D27">
              <w:t>The author is given in the reference citation identified in the text.</w:t>
            </w:r>
          </w:p>
        </w:tc>
      </w:tr>
      <w:tr w:rsidR="00011D27" w:rsidRPr="00C635BB" w14:paraId="6FCEC76A" w14:textId="77777777" w:rsidTr="005D60BE">
        <w:trPr>
          <w:jc w:val="center"/>
        </w:trPr>
        <w:tc>
          <w:tcPr>
            <w:tcW w:w="810" w:type="dxa"/>
            <w:shd w:val="clear" w:color="auto" w:fill="92D050"/>
          </w:tcPr>
          <w:p w14:paraId="54FD8710" w14:textId="3FA2959A" w:rsidR="00011D27" w:rsidRDefault="00011D27" w:rsidP="00011D27">
            <w:r>
              <w:lastRenderedPageBreak/>
              <w:t>4-14</w:t>
            </w:r>
          </w:p>
        </w:tc>
        <w:tc>
          <w:tcPr>
            <w:tcW w:w="1062" w:type="dxa"/>
            <w:shd w:val="clear" w:color="auto" w:fill="92D050"/>
          </w:tcPr>
          <w:p w14:paraId="1D3360D5" w14:textId="4DEE1CEF" w:rsidR="00011D27" w:rsidRDefault="00011D27" w:rsidP="00011D27">
            <w:r>
              <w:t>Fig 4-6</w:t>
            </w:r>
          </w:p>
        </w:tc>
        <w:tc>
          <w:tcPr>
            <w:tcW w:w="684" w:type="dxa"/>
            <w:shd w:val="clear" w:color="auto" w:fill="92D050"/>
          </w:tcPr>
          <w:p w14:paraId="5716940F" w14:textId="60CF4701" w:rsidR="00011D27" w:rsidRDefault="00011D27" w:rsidP="00011D27">
            <w:r>
              <w:t>Right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92D050"/>
          </w:tcPr>
          <w:p w14:paraId="183AE4A2" w14:textId="62FC98C6" w:rsidR="00011D27" w:rsidRDefault="00011D27" w:rsidP="00011D27">
            <w:proofErr w:type="spellStart"/>
            <w: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61E4E2" w14:textId="781486A5" w:rsidR="00011D27" w:rsidRDefault="00011D27" w:rsidP="00011D27">
            <w:pPr>
              <w:pStyle w:val="CommentText"/>
            </w:pPr>
            <w:r>
              <w:t xml:space="preserve">Ref FK5 in figure: </w:t>
            </w:r>
            <w:r w:rsidRPr="003776F3">
              <w:rPr>
                <w:sz w:val="18"/>
                <w:szCs w:val="18"/>
              </w:rPr>
              <w:t>Clarify FK5</w:t>
            </w:r>
            <w:r w:rsidRPr="003776F3">
              <w:t xml:space="preserve"> </w:t>
            </w:r>
            <w:r w:rsidRPr="003776F3">
              <w:rPr>
                <w:sz w:val="18"/>
                <w:szCs w:val="18"/>
              </w:rPr>
              <w:t>please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2D050"/>
          </w:tcPr>
          <w:p w14:paraId="14967743" w14:textId="25D7635F" w:rsidR="00011D27" w:rsidRPr="002730B3" w:rsidRDefault="00011D27" w:rsidP="00011D27">
            <w:r w:rsidRPr="00B81D93">
              <w:t xml:space="preserve">Brigitte </w:t>
            </w:r>
            <w:proofErr w:type="spellStart"/>
            <w:r w:rsidRPr="00B81D93">
              <w:t>Behal</w:t>
            </w:r>
            <w:proofErr w:type="spellEnd"/>
            <w:r w:rsidRPr="00B81D93">
              <w:t>/CNES</w:t>
            </w:r>
          </w:p>
        </w:tc>
        <w:tc>
          <w:tcPr>
            <w:tcW w:w="2700" w:type="dxa"/>
            <w:shd w:val="clear" w:color="auto" w:fill="92D050"/>
          </w:tcPr>
          <w:p w14:paraId="6B6A11EA" w14:textId="77777777" w:rsidR="00011D27" w:rsidRPr="002730B3" w:rsidRDefault="00011D27" w:rsidP="00011D27"/>
        </w:tc>
        <w:tc>
          <w:tcPr>
            <w:tcW w:w="2079" w:type="dxa"/>
            <w:shd w:val="clear" w:color="auto" w:fill="92D050"/>
          </w:tcPr>
          <w:p w14:paraId="5F3E3046" w14:textId="5062A647" w:rsidR="00011D27" w:rsidRDefault="005D60BE" w:rsidP="00011D27">
            <w:r>
              <w:t xml:space="preserve">Complete. Made entry in Glossary. </w:t>
            </w:r>
            <w:r w:rsidR="00011D27">
              <w:t xml:space="preserve">FK5 is </w:t>
            </w:r>
            <w:r>
              <w:t xml:space="preserve">the Fifth Fundamental Catalogue; it is </w:t>
            </w:r>
            <w:r w:rsidR="00011D27">
              <w:t>a pseudo-inertial system for geodetics coordinates that was used by the IAU to define motion of the equator and equinox prior to IAU’s use of GCRF.</w:t>
            </w:r>
          </w:p>
        </w:tc>
      </w:tr>
      <w:tr w:rsidR="00D6406A" w:rsidRPr="00C635BB" w14:paraId="037F900F" w14:textId="77777777" w:rsidTr="00D6328F">
        <w:trPr>
          <w:jc w:val="center"/>
        </w:trPr>
        <w:tc>
          <w:tcPr>
            <w:tcW w:w="810" w:type="dxa"/>
            <w:shd w:val="clear" w:color="auto" w:fill="92D050"/>
          </w:tcPr>
          <w:p w14:paraId="19F293C1" w14:textId="5B46B9AE" w:rsidR="00D6406A" w:rsidRDefault="00D6406A" w:rsidP="00D6406A">
            <w:r>
              <w:t>4-14</w:t>
            </w:r>
          </w:p>
        </w:tc>
        <w:tc>
          <w:tcPr>
            <w:tcW w:w="1062" w:type="dxa"/>
            <w:shd w:val="clear" w:color="auto" w:fill="92D050"/>
          </w:tcPr>
          <w:p w14:paraId="0A1B1D98" w14:textId="574134C9" w:rsidR="00D6406A" w:rsidRDefault="00D6406A" w:rsidP="00D6406A">
            <w:r>
              <w:t>Fig 4-6</w:t>
            </w:r>
          </w:p>
        </w:tc>
        <w:tc>
          <w:tcPr>
            <w:tcW w:w="684" w:type="dxa"/>
            <w:shd w:val="clear" w:color="auto" w:fill="92D050"/>
          </w:tcPr>
          <w:p w14:paraId="4D4B18D3" w14:textId="63226C73" w:rsidR="00D6406A" w:rsidRDefault="00D6406A" w:rsidP="00D6406A">
            <w:r>
              <w:t>left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92D050"/>
          </w:tcPr>
          <w:p w14:paraId="550430DD" w14:textId="403DA8B5" w:rsidR="00D6406A" w:rsidRDefault="00D6406A" w:rsidP="00D6406A">
            <w:proofErr w:type="spellStart"/>
            <w: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CFD582" w14:textId="77777777" w:rsidR="00D6406A" w:rsidRPr="006052B4" w:rsidRDefault="00D6406A" w:rsidP="00D6406A">
            <w:pPr>
              <w:rPr>
                <w:sz w:val="18"/>
                <w:szCs w:val="18"/>
              </w:rPr>
            </w:pPr>
            <w:r>
              <w:t xml:space="preserve">Ref “TCG=TT+2.2s/cy*(year-1977.0)”:  </w:t>
            </w:r>
            <w:r w:rsidRPr="006052B4">
              <w:rPr>
                <w:sz w:val="18"/>
                <w:szCs w:val="18"/>
              </w:rPr>
              <w:t xml:space="preserve">Does not seem coherent with </w:t>
            </w:r>
            <w:r>
              <w:rPr>
                <w:sz w:val="18"/>
                <w:szCs w:val="18"/>
              </w:rPr>
              <w:t>§</w:t>
            </w:r>
            <w:r w:rsidRPr="006052B4">
              <w:rPr>
                <w:sz w:val="18"/>
                <w:szCs w:val="18"/>
              </w:rPr>
              <w:t>4.4.2.2.1 that says:</w:t>
            </w:r>
          </w:p>
          <w:p w14:paraId="193EA489" w14:textId="77777777" w:rsidR="00D6406A" w:rsidRPr="006052B4" w:rsidRDefault="00D6406A" w:rsidP="00D6406A">
            <w:pPr>
              <w:rPr>
                <w:sz w:val="18"/>
                <w:szCs w:val="18"/>
              </w:rPr>
            </w:pPr>
            <w:r w:rsidRPr="006052B4">
              <w:rPr>
                <w:sz w:val="18"/>
                <w:szCs w:val="18"/>
              </w:rPr>
              <w:t>TT= (1-L</w:t>
            </w:r>
            <w:r w:rsidRPr="006052B4">
              <w:rPr>
                <w:sz w:val="18"/>
                <w:szCs w:val="18"/>
                <w:vertAlign w:val="subscript"/>
              </w:rPr>
              <w:t>G</w:t>
            </w:r>
            <w:r w:rsidRPr="006052B4">
              <w:rPr>
                <w:sz w:val="18"/>
                <w:szCs w:val="18"/>
              </w:rPr>
              <w:t>) TCG</w:t>
            </w:r>
          </w:p>
          <w:p w14:paraId="133ADA1D" w14:textId="77777777" w:rsidR="00D6406A" w:rsidRDefault="00D6406A" w:rsidP="00D6406A">
            <w:pPr>
              <w:rPr>
                <w:sz w:val="18"/>
                <w:szCs w:val="18"/>
                <w:vertAlign w:val="superscript"/>
              </w:rPr>
            </w:pPr>
            <w:r w:rsidRPr="006052B4">
              <w:rPr>
                <w:sz w:val="18"/>
                <w:szCs w:val="18"/>
              </w:rPr>
              <w:t>where L</w:t>
            </w:r>
            <w:r w:rsidRPr="006052B4">
              <w:rPr>
                <w:sz w:val="18"/>
                <w:szCs w:val="18"/>
                <w:vertAlign w:val="subscript"/>
              </w:rPr>
              <w:t>G</w:t>
            </w:r>
            <w:r w:rsidRPr="006052B4">
              <w:rPr>
                <w:sz w:val="18"/>
                <w:szCs w:val="18"/>
              </w:rPr>
              <w:t>=6.9692901 x 10-10</w:t>
            </w:r>
          </w:p>
          <w:p w14:paraId="53CE42CE" w14:textId="77777777" w:rsidR="00D6406A" w:rsidRDefault="00D6406A" w:rsidP="00D64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leads to TCG = TT*</w:t>
            </w:r>
            <w:r w:rsidRPr="006052B4">
              <w:t xml:space="preserve"> </w:t>
            </w:r>
            <w:r w:rsidRPr="006052B4">
              <w:rPr>
                <w:sz w:val="18"/>
                <w:szCs w:val="18"/>
              </w:rPr>
              <w:t>1,0000000007</w:t>
            </w:r>
          </w:p>
          <w:p w14:paraId="2AE5C27D" w14:textId="77777777" w:rsidR="00D6406A" w:rsidRDefault="00D6406A" w:rsidP="00D6406A">
            <w:pPr>
              <w:rPr>
                <w:sz w:val="18"/>
                <w:szCs w:val="18"/>
              </w:rPr>
            </w:pPr>
          </w:p>
          <w:p w14:paraId="1CD382CD" w14:textId="38BDFBC3" w:rsidR="00D6406A" w:rsidRPr="00011D27" w:rsidRDefault="00D6406A" w:rsidP="00D64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explain please?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2D050"/>
          </w:tcPr>
          <w:p w14:paraId="794DB741" w14:textId="77777777" w:rsidR="00D6406A" w:rsidRPr="00B81D93" w:rsidRDefault="00D6406A" w:rsidP="00D6406A"/>
        </w:tc>
        <w:tc>
          <w:tcPr>
            <w:tcW w:w="2700" w:type="dxa"/>
            <w:shd w:val="clear" w:color="auto" w:fill="92D050"/>
          </w:tcPr>
          <w:p w14:paraId="357C2F13" w14:textId="4AEC17AD" w:rsidR="00D6406A" w:rsidRPr="002730B3" w:rsidRDefault="00D6406A" w:rsidP="00D6406A"/>
        </w:tc>
        <w:tc>
          <w:tcPr>
            <w:tcW w:w="2079" w:type="dxa"/>
            <w:shd w:val="clear" w:color="auto" w:fill="92D050"/>
          </w:tcPr>
          <w:p w14:paraId="7826CC7B" w14:textId="002EA5C0" w:rsidR="00D6406A" w:rsidRDefault="00D6328F" w:rsidP="00D6406A">
            <w:r>
              <w:t xml:space="preserve">Complete. No Change. </w:t>
            </w:r>
            <w:r w:rsidR="00B25EFB">
              <w:t xml:space="preserve">100 </w:t>
            </w:r>
            <w:proofErr w:type="spellStart"/>
            <w:r w:rsidR="00B25EFB">
              <w:t>yr</w:t>
            </w:r>
            <w:proofErr w:type="spellEnd"/>
            <w:r w:rsidR="00B25EFB">
              <w:t>/century</w:t>
            </w:r>
            <w:r w:rsidR="00B25EFB">
              <w:t xml:space="preserve"> </w:t>
            </w:r>
            <w:r w:rsidR="00B25EFB">
              <w:t>*365.25 days/</w:t>
            </w:r>
            <w:proofErr w:type="spellStart"/>
            <w:r w:rsidR="00B25EFB">
              <w:t>yr</w:t>
            </w:r>
            <w:proofErr w:type="spellEnd"/>
            <w:r w:rsidR="00B25EFB">
              <w:t xml:space="preserve"> </w:t>
            </w:r>
            <w:r w:rsidR="00B25EFB">
              <w:t>*86400</w:t>
            </w:r>
            <w:r>
              <w:t xml:space="preserve"> </w:t>
            </w:r>
            <w:r w:rsidR="00B25EFB">
              <w:t>sec/day*L</w:t>
            </w:r>
            <w:r w:rsidR="00B25EFB" w:rsidRPr="00B25EFB">
              <w:rPr>
                <w:vertAlign w:val="subscript"/>
              </w:rPr>
              <w:t>G</w:t>
            </w:r>
            <w:r w:rsidR="00B25EFB">
              <w:t xml:space="preserve"> = 2.2</w:t>
            </w:r>
            <w:r w:rsidR="00B25EFB">
              <w:t xml:space="preserve"> seconds/century. The relationship only app</w:t>
            </w:r>
            <w:r>
              <w:t>l</w:t>
            </w:r>
            <w:r w:rsidR="00B25EFB">
              <w:t>ies to years since 1977 when the IAU established alignment between the terms TDB, TT, TCG, and TCB.</w:t>
            </w:r>
          </w:p>
        </w:tc>
      </w:tr>
      <w:tr w:rsidR="00B25EFB" w:rsidRPr="00C635BB" w14:paraId="2CB9390B" w14:textId="77777777" w:rsidTr="00EC1E2A">
        <w:trPr>
          <w:jc w:val="center"/>
        </w:trPr>
        <w:tc>
          <w:tcPr>
            <w:tcW w:w="810" w:type="dxa"/>
            <w:shd w:val="clear" w:color="auto" w:fill="92D050"/>
          </w:tcPr>
          <w:p w14:paraId="39E13706" w14:textId="26CE54B8" w:rsidR="00B25EFB" w:rsidRDefault="00B25EFB" w:rsidP="00D6406A">
            <w:r>
              <w:t>4-15</w:t>
            </w:r>
          </w:p>
        </w:tc>
        <w:tc>
          <w:tcPr>
            <w:tcW w:w="1062" w:type="dxa"/>
            <w:shd w:val="clear" w:color="auto" w:fill="92D050"/>
          </w:tcPr>
          <w:p w14:paraId="1008B10E" w14:textId="319C072D" w:rsidR="00B25EFB" w:rsidRDefault="00B25EFB" w:rsidP="00D6406A">
            <w:r>
              <w:t>4.5</w:t>
            </w:r>
          </w:p>
        </w:tc>
        <w:tc>
          <w:tcPr>
            <w:tcW w:w="684" w:type="dxa"/>
            <w:shd w:val="clear" w:color="auto" w:fill="92D050"/>
          </w:tcPr>
          <w:p w14:paraId="387D31B0" w14:textId="49CC121A" w:rsidR="00B25EFB" w:rsidRDefault="00B25EFB" w:rsidP="00D6406A">
            <w: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92D050"/>
          </w:tcPr>
          <w:p w14:paraId="35E81158" w14:textId="77304E7D" w:rsidR="00B25EFB" w:rsidRDefault="00B25EFB" w:rsidP="00D6406A">
            <w:proofErr w:type="spellStart"/>
            <w: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EE1FBB" w14:textId="000CB32D" w:rsidR="00B25EFB" w:rsidRDefault="00B25EFB" w:rsidP="00D6406A">
            <w:r>
              <w:t>Ref word “</w:t>
            </w:r>
            <w:proofErr w:type="spellStart"/>
            <w:r>
              <w:t>astrodynamic</w:t>
            </w:r>
            <w:proofErr w:type="spellEnd"/>
            <w:r>
              <w:t xml:space="preserve">”:  </w:t>
            </w:r>
            <w:r w:rsidRPr="00B25EFB">
              <w:rPr>
                <w:szCs w:val="32"/>
              </w:rPr>
              <w:t>should it not be "astrodynamic</w:t>
            </w:r>
            <w:r w:rsidRPr="00B25EFB">
              <w:rPr>
                <w:b/>
                <w:szCs w:val="32"/>
                <w:u w:val="single"/>
              </w:rPr>
              <w:t>s</w:t>
            </w:r>
            <w:r w:rsidRPr="00B25EFB">
              <w:rPr>
                <w:szCs w:val="32"/>
              </w:rPr>
              <w:t xml:space="preserve">" or </w:t>
            </w:r>
            <w:proofErr w:type="spellStart"/>
            <w:r w:rsidRPr="00B25EFB">
              <w:rPr>
                <w:szCs w:val="32"/>
              </w:rPr>
              <w:t>astrodynamical</w:t>
            </w:r>
            <w:proofErr w:type="spellEnd"/>
            <w:r w:rsidRPr="00B25EFB">
              <w:rPr>
                <w:szCs w:val="32"/>
              </w:rPr>
              <w:t>?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2D050"/>
          </w:tcPr>
          <w:p w14:paraId="24441CB5" w14:textId="77777777" w:rsidR="00B25EFB" w:rsidRPr="00B81D93" w:rsidRDefault="00B25EFB" w:rsidP="00D6406A"/>
        </w:tc>
        <w:tc>
          <w:tcPr>
            <w:tcW w:w="2700" w:type="dxa"/>
            <w:shd w:val="clear" w:color="auto" w:fill="92D050"/>
          </w:tcPr>
          <w:p w14:paraId="640E0213" w14:textId="77777777" w:rsidR="00B25EFB" w:rsidRPr="002730B3" w:rsidRDefault="00B25EFB" w:rsidP="00D6406A"/>
        </w:tc>
        <w:tc>
          <w:tcPr>
            <w:tcW w:w="2079" w:type="dxa"/>
            <w:shd w:val="clear" w:color="auto" w:fill="92D050"/>
          </w:tcPr>
          <w:p w14:paraId="08728732" w14:textId="68D08A31" w:rsidR="00B25EFB" w:rsidRDefault="00B25EFB" w:rsidP="00D6406A">
            <w:r>
              <w:t>Complete. No Change. The word “astrodynamics” is the adjective, the subject is “constants”; subject-verb agreement is maintained in the sentence as is.</w:t>
            </w:r>
          </w:p>
        </w:tc>
      </w:tr>
      <w:tr w:rsidR="00B25EFB" w:rsidRPr="00C635BB" w14:paraId="612978F0" w14:textId="77777777" w:rsidTr="00EC1E2A">
        <w:trPr>
          <w:jc w:val="center"/>
        </w:trPr>
        <w:tc>
          <w:tcPr>
            <w:tcW w:w="810" w:type="dxa"/>
            <w:shd w:val="clear" w:color="auto" w:fill="92D050"/>
          </w:tcPr>
          <w:p w14:paraId="6808D14D" w14:textId="34EB1145" w:rsidR="00B25EFB" w:rsidRDefault="00B25EFB" w:rsidP="00D6406A">
            <w:r>
              <w:t>4-15</w:t>
            </w:r>
          </w:p>
        </w:tc>
        <w:tc>
          <w:tcPr>
            <w:tcW w:w="1062" w:type="dxa"/>
            <w:shd w:val="clear" w:color="auto" w:fill="92D050"/>
          </w:tcPr>
          <w:p w14:paraId="355268B7" w14:textId="4ECE8217" w:rsidR="00B25EFB" w:rsidRDefault="00B25EFB" w:rsidP="00D6406A">
            <w:r>
              <w:t>4.6</w:t>
            </w:r>
          </w:p>
        </w:tc>
        <w:tc>
          <w:tcPr>
            <w:tcW w:w="684" w:type="dxa"/>
            <w:shd w:val="clear" w:color="auto" w:fill="92D050"/>
          </w:tcPr>
          <w:p w14:paraId="358803FB" w14:textId="63617E7A" w:rsidR="00B25EFB" w:rsidRDefault="00B25EFB" w:rsidP="00D6406A">
            <w: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92D050"/>
          </w:tcPr>
          <w:p w14:paraId="3E0D834F" w14:textId="18733965" w:rsidR="00B25EFB" w:rsidRDefault="00B25EFB" w:rsidP="00D6406A">
            <w:proofErr w:type="spellStart"/>
            <w: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734059" w14:textId="4408FDEE" w:rsidR="00B25EFB" w:rsidRDefault="00B25EFB" w:rsidP="00D6406A">
            <w:r>
              <w:t>Ref word “</w:t>
            </w:r>
            <w:proofErr w:type="spellStart"/>
            <w:r>
              <w:t>astrodynamic</w:t>
            </w:r>
            <w:proofErr w:type="spellEnd"/>
            <w:r>
              <w:t xml:space="preserve">”:  </w:t>
            </w:r>
            <w:r w:rsidRPr="00B25EFB">
              <w:rPr>
                <w:szCs w:val="32"/>
              </w:rPr>
              <w:t>should it not be "astrodynamic</w:t>
            </w:r>
            <w:r w:rsidRPr="00B25EFB">
              <w:rPr>
                <w:b/>
                <w:szCs w:val="32"/>
                <w:u w:val="single"/>
              </w:rPr>
              <w:t>s</w:t>
            </w:r>
            <w:r w:rsidRPr="00B25EFB">
              <w:rPr>
                <w:szCs w:val="32"/>
              </w:rPr>
              <w:t xml:space="preserve">" or </w:t>
            </w:r>
            <w:proofErr w:type="spellStart"/>
            <w:r w:rsidRPr="00B25EFB">
              <w:rPr>
                <w:szCs w:val="32"/>
              </w:rPr>
              <w:t>astrodynamical</w:t>
            </w:r>
            <w:proofErr w:type="spellEnd"/>
            <w:r w:rsidRPr="00B25EFB">
              <w:rPr>
                <w:szCs w:val="32"/>
              </w:rPr>
              <w:t>?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2D050"/>
          </w:tcPr>
          <w:p w14:paraId="0B785739" w14:textId="77777777" w:rsidR="00B25EFB" w:rsidRPr="00B81D93" w:rsidRDefault="00B25EFB" w:rsidP="00D6406A"/>
        </w:tc>
        <w:tc>
          <w:tcPr>
            <w:tcW w:w="2700" w:type="dxa"/>
            <w:shd w:val="clear" w:color="auto" w:fill="92D050"/>
          </w:tcPr>
          <w:p w14:paraId="22B6E4B9" w14:textId="77777777" w:rsidR="00B25EFB" w:rsidRPr="002730B3" w:rsidRDefault="00B25EFB" w:rsidP="00D6406A"/>
        </w:tc>
        <w:tc>
          <w:tcPr>
            <w:tcW w:w="2079" w:type="dxa"/>
            <w:shd w:val="clear" w:color="auto" w:fill="92D050"/>
          </w:tcPr>
          <w:p w14:paraId="5D715DD4" w14:textId="3AA14620" w:rsidR="00B25EFB" w:rsidRDefault="00B25EFB" w:rsidP="00D6406A">
            <w:r>
              <w:t xml:space="preserve">Complete. No Change. The word </w:t>
            </w:r>
            <w:r>
              <w:lastRenderedPageBreak/>
              <w:t>“astrodynamics” is the adjective, the subject is “constants”; subject-verb agreement is maintained in the sentence as is.</w:t>
            </w:r>
          </w:p>
        </w:tc>
      </w:tr>
      <w:tr w:rsidR="00B25EFB" w:rsidRPr="00C635BB" w14:paraId="1BC16C7D" w14:textId="77777777" w:rsidTr="00D520B8">
        <w:trPr>
          <w:jc w:val="center"/>
        </w:trPr>
        <w:tc>
          <w:tcPr>
            <w:tcW w:w="810" w:type="dxa"/>
            <w:shd w:val="clear" w:color="auto" w:fill="92D050"/>
          </w:tcPr>
          <w:p w14:paraId="4903CF7C" w14:textId="29622E3D" w:rsidR="00B25EFB" w:rsidRDefault="00B25EFB" w:rsidP="00D6406A">
            <w:r>
              <w:lastRenderedPageBreak/>
              <w:t>5-9</w:t>
            </w:r>
          </w:p>
        </w:tc>
        <w:tc>
          <w:tcPr>
            <w:tcW w:w="1062" w:type="dxa"/>
            <w:shd w:val="clear" w:color="auto" w:fill="92D050"/>
          </w:tcPr>
          <w:p w14:paraId="323B98AC" w14:textId="0A575A22" w:rsidR="00B25EFB" w:rsidRDefault="00B25EFB" w:rsidP="00D6406A">
            <w:r>
              <w:t>5.3.3</w:t>
            </w:r>
          </w:p>
        </w:tc>
        <w:tc>
          <w:tcPr>
            <w:tcW w:w="684" w:type="dxa"/>
            <w:shd w:val="clear" w:color="auto" w:fill="92D050"/>
          </w:tcPr>
          <w:p w14:paraId="335CC30B" w14:textId="621C272F" w:rsidR="00B25EFB" w:rsidRDefault="00C66B47" w:rsidP="00D6406A">
            <w:r>
              <w:t>20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92D050"/>
          </w:tcPr>
          <w:p w14:paraId="08B35E8E" w14:textId="54267C21" w:rsidR="00B25EFB" w:rsidRDefault="00C66B47" w:rsidP="00D6406A">
            <w:proofErr w:type="spellStart"/>
            <w: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3F3417" w14:textId="75C8F7F5" w:rsidR="00B25EFB" w:rsidRDefault="00C66B47" w:rsidP="00D6406A">
            <w:r>
              <w:t xml:space="preserve">Ref word “spacecraft”: </w:t>
            </w:r>
            <w:r>
              <w:t>Shout it not be plural?</w:t>
            </w:r>
            <w:r>
              <w:rPr>
                <w:rStyle w:val="CommentReference"/>
              </w:rPr>
              <w:t/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2D050"/>
          </w:tcPr>
          <w:p w14:paraId="67BE53A2" w14:textId="77777777" w:rsidR="00B25EFB" w:rsidRPr="00B81D93" w:rsidRDefault="00B25EFB" w:rsidP="00D6406A"/>
        </w:tc>
        <w:tc>
          <w:tcPr>
            <w:tcW w:w="2700" w:type="dxa"/>
            <w:shd w:val="clear" w:color="auto" w:fill="92D050"/>
          </w:tcPr>
          <w:p w14:paraId="0B9B62AB" w14:textId="77777777" w:rsidR="00B25EFB" w:rsidRPr="002730B3" w:rsidRDefault="00B25EFB" w:rsidP="00D6406A"/>
        </w:tc>
        <w:tc>
          <w:tcPr>
            <w:tcW w:w="2079" w:type="dxa"/>
            <w:shd w:val="clear" w:color="auto" w:fill="92D050"/>
          </w:tcPr>
          <w:p w14:paraId="6324F46A" w14:textId="10182CE5" w:rsidR="00B25EFB" w:rsidRDefault="00C66B47" w:rsidP="00D6406A">
            <w:r>
              <w:t>Complete. No Change. The word “spacecraft” is both singular and plural.</w:t>
            </w:r>
          </w:p>
        </w:tc>
      </w:tr>
      <w:tr w:rsidR="00C66B47" w:rsidRPr="00C635BB" w14:paraId="098B97A1" w14:textId="77777777" w:rsidTr="00D520B8">
        <w:trPr>
          <w:jc w:val="center"/>
        </w:trPr>
        <w:tc>
          <w:tcPr>
            <w:tcW w:w="810" w:type="dxa"/>
            <w:shd w:val="clear" w:color="auto" w:fill="92D050"/>
          </w:tcPr>
          <w:p w14:paraId="49654836" w14:textId="66691574" w:rsidR="00C66B47" w:rsidRDefault="00C66B47" w:rsidP="00D6406A">
            <w:r>
              <w:t>6-1</w:t>
            </w:r>
          </w:p>
        </w:tc>
        <w:tc>
          <w:tcPr>
            <w:tcW w:w="1062" w:type="dxa"/>
            <w:shd w:val="clear" w:color="auto" w:fill="92D050"/>
          </w:tcPr>
          <w:p w14:paraId="4D902C56" w14:textId="0C28ADE0" w:rsidR="00C66B47" w:rsidRDefault="00C66B47" w:rsidP="00D6406A">
            <w:r>
              <w:t>6.2.1.2</w:t>
            </w:r>
          </w:p>
        </w:tc>
        <w:tc>
          <w:tcPr>
            <w:tcW w:w="684" w:type="dxa"/>
            <w:shd w:val="clear" w:color="auto" w:fill="92D050"/>
          </w:tcPr>
          <w:p w14:paraId="2F01CE96" w14:textId="39DD7415" w:rsidR="00C66B47" w:rsidRDefault="00C66B47" w:rsidP="00D6406A">
            <w:r>
              <w:t>5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92D050"/>
          </w:tcPr>
          <w:p w14:paraId="735F272E" w14:textId="1F619C44" w:rsidR="00C66B47" w:rsidRDefault="00C66B47" w:rsidP="00D6406A">
            <w:proofErr w:type="spellStart"/>
            <w: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6F15FC" w14:textId="0D7A5C89" w:rsidR="00C66B47" w:rsidRDefault="00C66B47" w:rsidP="00D6406A">
            <w:r>
              <w:t xml:space="preserve">Ref word “that”: </w:t>
            </w:r>
            <w:r>
              <w:t>Should it not be "these frames"?</w:t>
            </w:r>
            <w:r>
              <w:rPr>
                <w:rStyle w:val="CommentReference"/>
              </w:rPr>
              <w:t/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2D050"/>
          </w:tcPr>
          <w:p w14:paraId="54AB2B34" w14:textId="77777777" w:rsidR="00C66B47" w:rsidRPr="00B81D93" w:rsidRDefault="00C66B47" w:rsidP="00D6406A"/>
        </w:tc>
        <w:tc>
          <w:tcPr>
            <w:tcW w:w="2700" w:type="dxa"/>
            <w:shd w:val="clear" w:color="auto" w:fill="92D050"/>
          </w:tcPr>
          <w:p w14:paraId="45A54EBE" w14:textId="77777777" w:rsidR="00C66B47" w:rsidRPr="002730B3" w:rsidRDefault="00C66B47" w:rsidP="00D6406A"/>
        </w:tc>
        <w:tc>
          <w:tcPr>
            <w:tcW w:w="2079" w:type="dxa"/>
            <w:shd w:val="clear" w:color="auto" w:fill="92D050"/>
          </w:tcPr>
          <w:p w14:paraId="71CABB98" w14:textId="12789BE8" w:rsidR="00C66B47" w:rsidRDefault="00C66B47" w:rsidP="00D6406A">
            <w:r>
              <w:t>Complete. Changed to “these</w:t>
            </w:r>
            <w:r w:rsidR="00D520B8">
              <w:t xml:space="preserve"> frames</w:t>
            </w:r>
            <w:r>
              <w:t>”.</w:t>
            </w:r>
          </w:p>
        </w:tc>
      </w:tr>
      <w:tr w:rsidR="00C66B47" w:rsidRPr="00C635BB" w14:paraId="02B6F4FB" w14:textId="77777777" w:rsidTr="00D520B8">
        <w:trPr>
          <w:jc w:val="center"/>
        </w:trPr>
        <w:tc>
          <w:tcPr>
            <w:tcW w:w="810" w:type="dxa"/>
            <w:shd w:val="clear" w:color="auto" w:fill="92D050"/>
          </w:tcPr>
          <w:p w14:paraId="49F613CC" w14:textId="4464C075" w:rsidR="00C66B47" w:rsidRDefault="00C66B47" w:rsidP="00D6406A">
            <w:r>
              <w:t>6-3</w:t>
            </w:r>
          </w:p>
        </w:tc>
        <w:tc>
          <w:tcPr>
            <w:tcW w:w="1062" w:type="dxa"/>
            <w:shd w:val="clear" w:color="auto" w:fill="92D050"/>
          </w:tcPr>
          <w:p w14:paraId="00625C05" w14:textId="08DA4D82" w:rsidR="00C66B47" w:rsidRDefault="00C66B47" w:rsidP="00D6406A">
            <w:r>
              <w:t>6.2.2.1</w:t>
            </w:r>
          </w:p>
        </w:tc>
        <w:tc>
          <w:tcPr>
            <w:tcW w:w="684" w:type="dxa"/>
            <w:shd w:val="clear" w:color="auto" w:fill="92D050"/>
          </w:tcPr>
          <w:p w14:paraId="5870D64D" w14:textId="683826B0" w:rsidR="00C66B47" w:rsidRDefault="00C66B47" w:rsidP="00D6406A">
            <w: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92D050"/>
          </w:tcPr>
          <w:p w14:paraId="7BDA216F" w14:textId="6EDE79A0" w:rsidR="00C66B47" w:rsidRDefault="00C66B47" w:rsidP="00D6406A">
            <w:proofErr w:type="spellStart"/>
            <w: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41A944" w14:textId="34F59AD9" w:rsidR="00C66B47" w:rsidRDefault="00C66B47" w:rsidP="00D6406A">
            <w:r>
              <w:t>Ref word “</w:t>
            </w:r>
            <w:proofErr w:type="spellStart"/>
            <w:r>
              <w:t>optimetrics</w:t>
            </w:r>
            <w:proofErr w:type="spellEnd"/>
            <w:r>
              <w:t xml:space="preserve">”: </w:t>
            </w:r>
            <w:proofErr w:type="spellStart"/>
            <w:r>
              <w:t>Optimetrics</w:t>
            </w:r>
            <w:proofErr w:type="spellEnd"/>
            <w:r>
              <w:t xml:space="preserve"> or </w:t>
            </w:r>
            <w:proofErr w:type="spellStart"/>
            <w:r>
              <w:t>opt</w:t>
            </w:r>
            <w:r w:rsidRPr="00DB1EA5">
              <w:rPr>
                <w:b/>
                <w:u w:val="single"/>
              </w:rPr>
              <w:t>o</w:t>
            </w:r>
            <w:r>
              <w:t>metrics</w:t>
            </w:r>
            <w:proofErr w:type="spellEnd"/>
            <w:r>
              <w:t>?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2D050"/>
          </w:tcPr>
          <w:p w14:paraId="44077EFA" w14:textId="77777777" w:rsidR="00C66B47" w:rsidRPr="00B81D93" w:rsidRDefault="00C66B47" w:rsidP="00D6406A"/>
        </w:tc>
        <w:tc>
          <w:tcPr>
            <w:tcW w:w="2700" w:type="dxa"/>
            <w:shd w:val="clear" w:color="auto" w:fill="92D050"/>
          </w:tcPr>
          <w:p w14:paraId="6E9F1E99" w14:textId="77777777" w:rsidR="00C66B47" w:rsidRPr="002730B3" w:rsidRDefault="00C66B47" w:rsidP="00D6406A"/>
        </w:tc>
        <w:tc>
          <w:tcPr>
            <w:tcW w:w="2079" w:type="dxa"/>
            <w:shd w:val="clear" w:color="auto" w:fill="92D050"/>
          </w:tcPr>
          <w:p w14:paraId="6965D55B" w14:textId="37BCCBF1" w:rsidR="00C66B47" w:rsidRDefault="00C66B47" w:rsidP="00D6406A">
            <w:r>
              <w:t>Complete. No Change. Either form is acceptable.</w:t>
            </w:r>
          </w:p>
        </w:tc>
      </w:tr>
      <w:tr w:rsidR="00033A13" w:rsidRPr="00C635BB" w14:paraId="2438FF16" w14:textId="77777777" w:rsidTr="00640667">
        <w:trPr>
          <w:jc w:val="center"/>
        </w:trPr>
        <w:tc>
          <w:tcPr>
            <w:tcW w:w="810" w:type="dxa"/>
            <w:shd w:val="clear" w:color="auto" w:fill="92D050"/>
          </w:tcPr>
          <w:p w14:paraId="14C09B02" w14:textId="68BDDD61" w:rsidR="00033A13" w:rsidRDefault="00033A13" w:rsidP="00D6406A">
            <w:bookmarkStart w:id="0" w:name="_GoBack" w:colFirst="0" w:colLast="7"/>
            <w:r>
              <w:t>6-5</w:t>
            </w:r>
          </w:p>
        </w:tc>
        <w:tc>
          <w:tcPr>
            <w:tcW w:w="1062" w:type="dxa"/>
            <w:shd w:val="clear" w:color="auto" w:fill="92D050"/>
          </w:tcPr>
          <w:p w14:paraId="3C075D70" w14:textId="0CC21B26" w:rsidR="00033A13" w:rsidRDefault="00033A13" w:rsidP="00D6406A">
            <w:r>
              <w:t>6.2.2.4</w:t>
            </w:r>
          </w:p>
        </w:tc>
        <w:tc>
          <w:tcPr>
            <w:tcW w:w="684" w:type="dxa"/>
            <w:shd w:val="clear" w:color="auto" w:fill="92D050"/>
          </w:tcPr>
          <w:p w14:paraId="019876FF" w14:textId="0D982B98" w:rsidR="00033A13" w:rsidRDefault="00033A13" w:rsidP="00D6406A">
            <w:r>
              <w:t>6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92D050"/>
          </w:tcPr>
          <w:p w14:paraId="5119B7ED" w14:textId="62BE5EAC" w:rsidR="00033A13" w:rsidRDefault="00033A13" w:rsidP="00D6406A">
            <w: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B1EE24" w14:textId="15514538" w:rsidR="00033A13" w:rsidRDefault="00033A13" w:rsidP="00D6406A">
            <w:r>
              <w:t xml:space="preserve">Ref word “’five-way’”: </w:t>
            </w:r>
            <w:r>
              <w:t>It does not seem coherent with the title of the paragraph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2D050"/>
          </w:tcPr>
          <w:p w14:paraId="5F09C7B9" w14:textId="77777777" w:rsidR="00033A13" w:rsidRPr="00B81D93" w:rsidRDefault="00033A13" w:rsidP="00D6406A"/>
        </w:tc>
        <w:tc>
          <w:tcPr>
            <w:tcW w:w="2700" w:type="dxa"/>
            <w:shd w:val="clear" w:color="auto" w:fill="92D050"/>
          </w:tcPr>
          <w:p w14:paraId="153FEC96" w14:textId="77777777" w:rsidR="00033A13" w:rsidRPr="002730B3" w:rsidRDefault="00033A13" w:rsidP="00D6406A"/>
        </w:tc>
        <w:tc>
          <w:tcPr>
            <w:tcW w:w="2079" w:type="dxa"/>
            <w:shd w:val="clear" w:color="auto" w:fill="92D050"/>
          </w:tcPr>
          <w:p w14:paraId="5063EAF1" w14:textId="1BD3BFCA" w:rsidR="00033A13" w:rsidRDefault="00033A13" w:rsidP="00D6406A">
            <w:r>
              <w:t>Complete. No Change. While the measurement is 4-way (</w:t>
            </w:r>
            <w:r w:rsidR="00BD54B8">
              <w:t xml:space="preserve">along a </w:t>
            </w:r>
            <w:r>
              <w:t>4-leg</w:t>
            </w:r>
            <w:r w:rsidR="00BD54B8">
              <w:t>ged path</w:t>
            </w:r>
            <w:r>
              <w:t xml:space="preserve">), the addition of a reference signal adds an additional </w:t>
            </w:r>
            <w:r w:rsidR="00BD54B8">
              <w:t>leg</w:t>
            </w:r>
            <w:r>
              <w:t xml:space="preserve">. It is </w:t>
            </w:r>
            <w:r w:rsidR="00BD54B8">
              <w:t xml:space="preserve">only </w:t>
            </w:r>
            <w:r>
              <w:t xml:space="preserve">relevant to </w:t>
            </w:r>
            <w:r w:rsidR="00BD54B8">
              <w:t>a relay-</w:t>
            </w:r>
            <w:r>
              <w:t xml:space="preserve">type measurement </w:t>
            </w:r>
            <w:r w:rsidR="00BD54B8">
              <w:t>and does not stand on its own</w:t>
            </w:r>
            <w:r>
              <w:t>.</w:t>
            </w:r>
          </w:p>
        </w:tc>
      </w:tr>
      <w:tr w:rsidR="000A5EF5" w:rsidRPr="00C635BB" w14:paraId="6E469E86" w14:textId="77777777" w:rsidTr="00640667">
        <w:trPr>
          <w:jc w:val="center"/>
        </w:trPr>
        <w:tc>
          <w:tcPr>
            <w:tcW w:w="810" w:type="dxa"/>
            <w:shd w:val="clear" w:color="auto" w:fill="92D050"/>
          </w:tcPr>
          <w:p w14:paraId="3E1946C8" w14:textId="0EC4F562" w:rsidR="000A5EF5" w:rsidRDefault="000A5EF5" w:rsidP="00D6406A">
            <w:r>
              <w:t>6-6</w:t>
            </w:r>
          </w:p>
        </w:tc>
        <w:tc>
          <w:tcPr>
            <w:tcW w:w="1062" w:type="dxa"/>
            <w:shd w:val="clear" w:color="auto" w:fill="92D050"/>
          </w:tcPr>
          <w:p w14:paraId="6ABD2F2F" w14:textId="3E22EFEC" w:rsidR="000A5EF5" w:rsidRDefault="000A5EF5" w:rsidP="00D6406A">
            <w:r>
              <w:t>6.2.2.5</w:t>
            </w:r>
          </w:p>
        </w:tc>
        <w:tc>
          <w:tcPr>
            <w:tcW w:w="684" w:type="dxa"/>
            <w:shd w:val="clear" w:color="auto" w:fill="92D050"/>
          </w:tcPr>
          <w:p w14:paraId="76C817AE" w14:textId="67E9FF62" w:rsidR="000A5EF5" w:rsidRDefault="00005017" w:rsidP="00D6406A">
            <w:r>
              <w:t>9-10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92D050"/>
          </w:tcPr>
          <w:p w14:paraId="754166D8" w14:textId="5C76C179" w:rsidR="000A5EF5" w:rsidRDefault="00005017" w:rsidP="00D6406A">
            <w: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135764" w14:textId="34C7B390" w:rsidR="000A5EF5" w:rsidRDefault="00005017" w:rsidP="00005017">
            <w:pPr>
              <w:pStyle w:val="CommentText"/>
            </w:pPr>
            <w:r>
              <w:t xml:space="preserve">The font size of this sentence is different from the previous sentences. 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2D050"/>
          </w:tcPr>
          <w:p w14:paraId="260C78F6" w14:textId="77777777" w:rsidR="000A5EF5" w:rsidRPr="00B81D93" w:rsidRDefault="000A5EF5" w:rsidP="00D6406A"/>
        </w:tc>
        <w:tc>
          <w:tcPr>
            <w:tcW w:w="2700" w:type="dxa"/>
            <w:shd w:val="clear" w:color="auto" w:fill="92D050"/>
          </w:tcPr>
          <w:p w14:paraId="478942D8" w14:textId="77777777" w:rsidR="000A5EF5" w:rsidRPr="002730B3" w:rsidRDefault="000A5EF5" w:rsidP="00D6406A"/>
        </w:tc>
        <w:tc>
          <w:tcPr>
            <w:tcW w:w="2079" w:type="dxa"/>
            <w:shd w:val="clear" w:color="auto" w:fill="92D050"/>
          </w:tcPr>
          <w:p w14:paraId="77D62B43" w14:textId="67D4F3F4" w:rsidR="000A5EF5" w:rsidRDefault="00005017" w:rsidP="00D6406A">
            <w:r>
              <w:t>Complete.</w:t>
            </w:r>
          </w:p>
        </w:tc>
      </w:tr>
      <w:bookmarkEnd w:id="0"/>
    </w:tbl>
    <w:p w14:paraId="2C23B5C7" w14:textId="77777777" w:rsidR="00063A48" w:rsidRPr="00C635BB" w:rsidRDefault="00063A48"/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C1BAD" w14:textId="77777777" w:rsidR="002A3894" w:rsidRDefault="002A3894">
      <w:r>
        <w:separator/>
      </w:r>
    </w:p>
  </w:endnote>
  <w:endnote w:type="continuationSeparator" w:id="0">
    <w:p w14:paraId="440A38B0" w14:textId="77777777" w:rsidR="002A3894" w:rsidRDefault="002A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sap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211DA0" w:rsidRPr="008E3BF4" w:rsidRDefault="00211DA0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211DA0" w:rsidRDefault="00211DA0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F19DA" w14:textId="77777777" w:rsidR="002A3894" w:rsidRDefault="002A3894">
      <w:r>
        <w:separator/>
      </w:r>
    </w:p>
  </w:footnote>
  <w:footnote w:type="continuationSeparator" w:id="0">
    <w:p w14:paraId="730F37D7" w14:textId="77777777" w:rsidR="002A3894" w:rsidRDefault="002A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1D3C5D70" w:rsidR="00211DA0" w:rsidRDefault="00211DA0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Navigation Data - Definitions &amp; </w:t>
    </w:r>
    <w:proofErr w:type="gramStart"/>
    <w:r>
      <w:rPr>
        <w:bCs/>
        <w:color w:val="3366FF"/>
        <w:sz w:val="22"/>
      </w:rPr>
      <w:t>Conventions  3.</w:t>
    </w:r>
    <w:r w:rsidR="002730B3">
      <w:rPr>
        <w:bCs/>
        <w:color w:val="3366FF"/>
        <w:sz w:val="22"/>
      </w:rPr>
      <w:t>7</w:t>
    </w:r>
    <w:proofErr w:type="gramEnd"/>
  </w:p>
  <w:p w14:paraId="2FABCE12" w14:textId="21795FB4" w:rsidR="00211DA0" w:rsidRDefault="00211DA0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A</w:t>
    </w:r>
    <w:r w:rsidR="002730B3">
      <w:rPr>
        <w:bCs/>
        <w:color w:val="3366FF"/>
        <w:sz w:val="22"/>
      </w:rPr>
      <w:t>ugust</w:t>
    </w:r>
    <w:r>
      <w:rPr>
        <w:bCs/>
        <w:color w:val="3366FF"/>
        <w:sz w:val="22"/>
      </w:rPr>
      <w:t xml:space="preserve"> 2019</w:t>
    </w:r>
  </w:p>
  <w:p w14:paraId="3F82E198" w14:textId="77777777" w:rsidR="00211DA0" w:rsidRDefault="00211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93BCF"/>
    <w:multiLevelType w:val="multilevel"/>
    <w:tmpl w:val="78F2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6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C2A5494"/>
    <w:multiLevelType w:val="hybridMultilevel"/>
    <w:tmpl w:val="F7FC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0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20"/>
  </w:num>
  <w:num w:numId="6">
    <w:abstractNumId w:val="16"/>
  </w:num>
  <w:num w:numId="7">
    <w:abstractNumId w:val="9"/>
  </w:num>
  <w:num w:numId="8">
    <w:abstractNumId w:val="13"/>
  </w:num>
  <w:num w:numId="9">
    <w:abstractNumId w:val="12"/>
  </w:num>
  <w:num w:numId="10">
    <w:abstractNumId w:val="6"/>
  </w:num>
  <w:num w:numId="11">
    <w:abstractNumId w:val="19"/>
  </w:num>
  <w:num w:numId="12">
    <w:abstractNumId w:val="5"/>
  </w:num>
  <w:num w:numId="13">
    <w:abstractNumId w:val="21"/>
  </w:num>
  <w:num w:numId="14">
    <w:abstractNumId w:val="2"/>
  </w:num>
  <w:num w:numId="15">
    <w:abstractNumId w:val="3"/>
  </w:num>
  <w:num w:numId="16">
    <w:abstractNumId w:val="15"/>
  </w:num>
  <w:num w:numId="17">
    <w:abstractNumId w:val="17"/>
  </w:num>
  <w:num w:numId="18">
    <w:abstractNumId w:val="0"/>
  </w:num>
  <w:num w:numId="19">
    <w:abstractNumId w:val="14"/>
  </w:num>
  <w:num w:numId="20">
    <w:abstractNumId w:val="8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9E"/>
    <w:rsid w:val="0000007D"/>
    <w:rsid w:val="000010F3"/>
    <w:rsid w:val="00005017"/>
    <w:rsid w:val="00006371"/>
    <w:rsid w:val="00011D27"/>
    <w:rsid w:val="000301F9"/>
    <w:rsid w:val="00033A13"/>
    <w:rsid w:val="00042304"/>
    <w:rsid w:val="0005734C"/>
    <w:rsid w:val="00063A48"/>
    <w:rsid w:val="000745CD"/>
    <w:rsid w:val="0008137F"/>
    <w:rsid w:val="00087CEE"/>
    <w:rsid w:val="00087F44"/>
    <w:rsid w:val="00091B25"/>
    <w:rsid w:val="00094BE6"/>
    <w:rsid w:val="000A5EF5"/>
    <w:rsid w:val="000B39E3"/>
    <w:rsid w:val="000C59B6"/>
    <w:rsid w:val="000D30FC"/>
    <w:rsid w:val="000D43C6"/>
    <w:rsid w:val="000E038C"/>
    <w:rsid w:val="000E5DFC"/>
    <w:rsid w:val="000E7262"/>
    <w:rsid w:val="000F4489"/>
    <w:rsid w:val="00125CA6"/>
    <w:rsid w:val="001434A7"/>
    <w:rsid w:val="00170033"/>
    <w:rsid w:val="00171F07"/>
    <w:rsid w:val="00194438"/>
    <w:rsid w:val="001A2616"/>
    <w:rsid w:val="001A2870"/>
    <w:rsid w:val="001A2D75"/>
    <w:rsid w:val="001B35D7"/>
    <w:rsid w:val="001B5D53"/>
    <w:rsid w:val="001C0CE8"/>
    <w:rsid w:val="001D0241"/>
    <w:rsid w:val="001E0077"/>
    <w:rsid w:val="001E1056"/>
    <w:rsid w:val="001E73EB"/>
    <w:rsid w:val="001F5D6C"/>
    <w:rsid w:val="00211DA0"/>
    <w:rsid w:val="00222BD5"/>
    <w:rsid w:val="00263818"/>
    <w:rsid w:val="002652FB"/>
    <w:rsid w:val="002730B3"/>
    <w:rsid w:val="00282704"/>
    <w:rsid w:val="002833D8"/>
    <w:rsid w:val="002A3894"/>
    <w:rsid w:val="002B0F8E"/>
    <w:rsid w:val="002D15A7"/>
    <w:rsid w:val="002D652F"/>
    <w:rsid w:val="003016D2"/>
    <w:rsid w:val="0031518F"/>
    <w:rsid w:val="00324448"/>
    <w:rsid w:val="0033052A"/>
    <w:rsid w:val="00333F63"/>
    <w:rsid w:val="0033428A"/>
    <w:rsid w:val="00337B53"/>
    <w:rsid w:val="003446F4"/>
    <w:rsid w:val="00364592"/>
    <w:rsid w:val="00373026"/>
    <w:rsid w:val="003737CF"/>
    <w:rsid w:val="003901EC"/>
    <w:rsid w:val="00395B53"/>
    <w:rsid w:val="003A59F8"/>
    <w:rsid w:val="003C4F72"/>
    <w:rsid w:val="003D018E"/>
    <w:rsid w:val="003D4D77"/>
    <w:rsid w:val="003D5E49"/>
    <w:rsid w:val="003E7DFC"/>
    <w:rsid w:val="003F322F"/>
    <w:rsid w:val="004004B4"/>
    <w:rsid w:val="00445953"/>
    <w:rsid w:val="0046133C"/>
    <w:rsid w:val="004627B6"/>
    <w:rsid w:val="00495CF6"/>
    <w:rsid w:val="004A29BE"/>
    <w:rsid w:val="004C1B5C"/>
    <w:rsid w:val="004D5E47"/>
    <w:rsid w:val="004D7949"/>
    <w:rsid w:val="004E062E"/>
    <w:rsid w:val="004E39DA"/>
    <w:rsid w:val="0050215B"/>
    <w:rsid w:val="0051693F"/>
    <w:rsid w:val="00520829"/>
    <w:rsid w:val="005262A2"/>
    <w:rsid w:val="00527573"/>
    <w:rsid w:val="00527A07"/>
    <w:rsid w:val="00541DFE"/>
    <w:rsid w:val="005456D1"/>
    <w:rsid w:val="00553AD8"/>
    <w:rsid w:val="005544A3"/>
    <w:rsid w:val="00566DE0"/>
    <w:rsid w:val="0057340F"/>
    <w:rsid w:val="0058067C"/>
    <w:rsid w:val="00586B5C"/>
    <w:rsid w:val="005875E4"/>
    <w:rsid w:val="005A3709"/>
    <w:rsid w:val="005B3413"/>
    <w:rsid w:val="005B7446"/>
    <w:rsid w:val="005D4B16"/>
    <w:rsid w:val="005D60BE"/>
    <w:rsid w:val="006107FD"/>
    <w:rsid w:val="00640667"/>
    <w:rsid w:val="00650385"/>
    <w:rsid w:val="006869D8"/>
    <w:rsid w:val="00686E80"/>
    <w:rsid w:val="006A0AB9"/>
    <w:rsid w:val="006A3A3E"/>
    <w:rsid w:val="006A77EB"/>
    <w:rsid w:val="006C3CBF"/>
    <w:rsid w:val="006C6053"/>
    <w:rsid w:val="006E1633"/>
    <w:rsid w:val="006F29A9"/>
    <w:rsid w:val="006F4005"/>
    <w:rsid w:val="0071029D"/>
    <w:rsid w:val="0071553B"/>
    <w:rsid w:val="00721C5A"/>
    <w:rsid w:val="00734E5A"/>
    <w:rsid w:val="00736823"/>
    <w:rsid w:val="007547D7"/>
    <w:rsid w:val="007831EF"/>
    <w:rsid w:val="007978DA"/>
    <w:rsid w:val="007A0F77"/>
    <w:rsid w:val="007A22CA"/>
    <w:rsid w:val="007C23B9"/>
    <w:rsid w:val="007C5224"/>
    <w:rsid w:val="007D5F14"/>
    <w:rsid w:val="007E3E95"/>
    <w:rsid w:val="007F1BDE"/>
    <w:rsid w:val="007F347A"/>
    <w:rsid w:val="007F48B7"/>
    <w:rsid w:val="008146CB"/>
    <w:rsid w:val="00824409"/>
    <w:rsid w:val="00832834"/>
    <w:rsid w:val="00836C5A"/>
    <w:rsid w:val="00836EAF"/>
    <w:rsid w:val="00841213"/>
    <w:rsid w:val="00843E73"/>
    <w:rsid w:val="00846088"/>
    <w:rsid w:val="00850C33"/>
    <w:rsid w:val="00857E37"/>
    <w:rsid w:val="00882184"/>
    <w:rsid w:val="00885B51"/>
    <w:rsid w:val="0089786F"/>
    <w:rsid w:val="008A41A7"/>
    <w:rsid w:val="008A4829"/>
    <w:rsid w:val="008B0621"/>
    <w:rsid w:val="008B268A"/>
    <w:rsid w:val="008C1A14"/>
    <w:rsid w:val="008C4E3B"/>
    <w:rsid w:val="008D34A7"/>
    <w:rsid w:val="008E3BF4"/>
    <w:rsid w:val="008E53A1"/>
    <w:rsid w:val="009173A4"/>
    <w:rsid w:val="00925880"/>
    <w:rsid w:val="00931BDB"/>
    <w:rsid w:val="00946900"/>
    <w:rsid w:val="0096255E"/>
    <w:rsid w:val="0096643C"/>
    <w:rsid w:val="00972D47"/>
    <w:rsid w:val="0098780C"/>
    <w:rsid w:val="009B0A75"/>
    <w:rsid w:val="009B3DB9"/>
    <w:rsid w:val="009C501A"/>
    <w:rsid w:val="009C6213"/>
    <w:rsid w:val="009D44C5"/>
    <w:rsid w:val="00A06E8F"/>
    <w:rsid w:val="00A16C1E"/>
    <w:rsid w:val="00A40EE8"/>
    <w:rsid w:val="00A509C4"/>
    <w:rsid w:val="00A568D6"/>
    <w:rsid w:val="00A56BF4"/>
    <w:rsid w:val="00AB1049"/>
    <w:rsid w:val="00AD5667"/>
    <w:rsid w:val="00AE2BD5"/>
    <w:rsid w:val="00AF1951"/>
    <w:rsid w:val="00B02B5E"/>
    <w:rsid w:val="00B05C87"/>
    <w:rsid w:val="00B12CAC"/>
    <w:rsid w:val="00B25EFB"/>
    <w:rsid w:val="00B31539"/>
    <w:rsid w:val="00B40C73"/>
    <w:rsid w:val="00B44A35"/>
    <w:rsid w:val="00B5183C"/>
    <w:rsid w:val="00B56FC1"/>
    <w:rsid w:val="00B75213"/>
    <w:rsid w:val="00B83657"/>
    <w:rsid w:val="00B83A74"/>
    <w:rsid w:val="00BD54B8"/>
    <w:rsid w:val="00BE4D61"/>
    <w:rsid w:val="00BF1A22"/>
    <w:rsid w:val="00BF2F80"/>
    <w:rsid w:val="00BF3537"/>
    <w:rsid w:val="00C03101"/>
    <w:rsid w:val="00C07636"/>
    <w:rsid w:val="00C3376D"/>
    <w:rsid w:val="00C3707F"/>
    <w:rsid w:val="00C46C04"/>
    <w:rsid w:val="00C509B5"/>
    <w:rsid w:val="00C53EB7"/>
    <w:rsid w:val="00C6158B"/>
    <w:rsid w:val="00C635BB"/>
    <w:rsid w:val="00C66985"/>
    <w:rsid w:val="00C66B47"/>
    <w:rsid w:val="00C8123D"/>
    <w:rsid w:val="00C860E2"/>
    <w:rsid w:val="00CA347E"/>
    <w:rsid w:val="00CA6366"/>
    <w:rsid w:val="00CA6932"/>
    <w:rsid w:val="00CB5AFE"/>
    <w:rsid w:val="00CB79E4"/>
    <w:rsid w:val="00CC1355"/>
    <w:rsid w:val="00CC348E"/>
    <w:rsid w:val="00D16072"/>
    <w:rsid w:val="00D37CA6"/>
    <w:rsid w:val="00D520B8"/>
    <w:rsid w:val="00D56059"/>
    <w:rsid w:val="00D61947"/>
    <w:rsid w:val="00D6328F"/>
    <w:rsid w:val="00D6406A"/>
    <w:rsid w:val="00D651E6"/>
    <w:rsid w:val="00D743D2"/>
    <w:rsid w:val="00D8107F"/>
    <w:rsid w:val="00D83D7D"/>
    <w:rsid w:val="00D918BB"/>
    <w:rsid w:val="00DB0236"/>
    <w:rsid w:val="00DB0BDF"/>
    <w:rsid w:val="00DB279E"/>
    <w:rsid w:val="00DB6147"/>
    <w:rsid w:val="00DD399C"/>
    <w:rsid w:val="00DD7FF2"/>
    <w:rsid w:val="00DF36FF"/>
    <w:rsid w:val="00DF523C"/>
    <w:rsid w:val="00E13240"/>
    <w:rsid w:val="00E23B23"/>
    <w:rsid w:val="00E34690"/>
    <w:rsid w:val="00E45A18"/>
    <w:rsid w:val="00E5246A"/>
    <w:rsid w:val="00E64537"/>
    <w:rsid w:val="00E71CF7"/>
    <w:rsid w:val="00E852BA"/>
    <w:rsid w:val="00E87786"/>
    <w:rsid w:val="00E92D8A"/>
    <w:rsid w:val="00E96058"/>
    <w:rsid w:val="00EA028E"/>
    <w:rsid w:val="00EA2303"/>
    <w:rsid w:val="00EA521A"/>
    <w:rsid w:val="00EC1E2A"/>
    <w:rsid w:val="00EC51C4"/>
    <w:rsid w:val="00ED3A51"/>
    <w:rsid w:val="00EE3B98"/>
    <w:rsid w:val="00EE5BE5"/>
    <w:rsid w:val="00F079CE"/>
    <w:rsid w:val="00F239E4"/>
    <w:rsid w:val="00F268F9"/>
    <w:rsid w:val="00F36BE8"/>
    <w:rsid w:val="00F40DDF"/>
    <w:rsid w:val="00F4576A"/>
    <w:rsid w:val="00F6088D"/>
    <w:rsid w:val="00F60927"/>
    <w:rsid w:val="00F808FA"/>
    <w:rsid w:val="00FD196C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E3C1F036-C18F-F043-A370-24D7DA64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B12C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40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0F"/>
    <w:rPr>
      <w:sz w:val="18"/>
      <w:szCs w:val="18"/>
    </w:rPr>
  </w:style>
  <w:style w:type="character" w:customStyle="1" w:styleId="CommentTextChar">
    <w:name w:val="Comment Text Char"/>
    <w:link w:val="CommentText"/>
    <w:semiHidden/>
    <w:rsid w:val="004E062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8AE015-E4B2-5B43-A5DF-6AFE6864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AMS S-PLAN COMMENT RESOLUTION MATRIX</vt:lpstr>
      <vt:lpstr>AMS S-PLAN COMMENT RESOLUTION MATRIX</vt:lpstr>
    </vt:vector>
  </TitlesOfParts>
  <Company>Titan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Cheryl Gramling</cp:lastModifiedBy>
  <cp:revision>16</cp:revision>
  <cp:lastPrinted>2003-02-28T21:24:00Z</cp:lastPrinted>
  <dcterms:created xsi:type="dcterms:W3CDTF">2019-08-29T21:41:00Z</dcterms:created>
  <dcterms:modified xsi:type="dcterms:W3CDTF">2019-08-30T15:46:00Z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