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934CA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041D9A9D" w:rsidR="005934CA" w:rsidRPr="00C635BB" w:rsidRDefault="005934CA" w:rsidP="005934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062" w:type="dxa"/>
          </w:tcPr>
          <w:p w14:paraId="7F5CE454" w14:textId="226D222C" w:rsidR="005934CA" w:rsidRPr="00C635BB" w:rsidRDefault="005934CA" w:rsidP="005934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684" w:type="dxa"/>
          </w:tcPr>
          <w:p w14:paraId="3BFE4AE7" w14:textId="4FC4BB57" w:rsidR="005934CA" w:rsidRPr="00C635BB" w:rsidRDefault="005934CA" w:rsidP="005934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1E4E809B" w:rsidR="005934CA" w:rsidRPr="00C635BB" w:rsidRDefault="005934CA" w:rsidP="005934CA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0BF493BF" w:rsidR="005934CA" w:rsidRPr="00C635BB" w:rsidRDefault="005934CA" w:rsidP="005934C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"Ephemeris": </w:t>
            </w:r>
            <w:r w:rsidR="008B7424">
              <w:rPr>
                <w:rFonts w:cs="Arial"/>
                <w:sz w:val="22"/>
                <w:szCs w:val="22"/>
              </w:rPr>
              <w:t>I wonder if we should add "and</w:t>
            </w:r>
            <w:r w:rsidR="004B7494">
              <w:rPr>
                <w:rFonts w:cs="Arial"/>
                <w:sz w:val="22"/>
                <w:szCs w:val="22"/>
              </w:rPr>
              <w:t xml:space="preserve"> optional</w:t>
            </w:r>
            <w:bookmarkStart w:id="0" w:name="_GoBack"/>
            <w:bookmarkEnd w:id="0"/>
            <w:r w:rsidR="008B7424">
              <w:rPr>
                <w:rFonts w:cs="Arial"/>
                <w:sz w:val="22"/>
                <w:szCs w:val="22"/>
              </w:rPr>
              <w:t xml:space="preserve"> accelerations" to the definition since the OEM includes the option of adding acceleration data in the ephemeris line.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65E0C1B5" w:rsidR="005934CA" w:rsidRPr="00C635BB" w:rsidRDefault="005934CA" w:rsidP="005934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1242EF5" w14:textId="13FF7F7B" w:rsidR="005934CA" w:rsidRPr="00C635BB" w:rsidRDefault="008B7424" w:rsidP="005934CA">
            <w:r>
              <w:t>Consider</w:t>
            </w:r>
          </w:p>
        </w:tc>
        <w:tc>
          <w:tcPr>
            <w:tcW w:w="2079" w:type="dxa"/>
          </w:tcPr>
          <w:p w14:paraId="242A3948" w14:textId="77777777" w:rsidR="005934CA" w:rsidRPr="00C635BB" w:rsidRDefault="005934CA" w:rsidP="005934CA"/>
        </w:tc>
      </w:tr>
      <w:tr w:rsidR="008B7424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182C0DB9" w:rsidR="008B7424" w:rsidRPr="00C635BB" w:rsidRDefault="008B7424" w:rsidP="008B74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062" w:type="dxa"/>
          </w:tcPr>
          <w:p w14:paraId="416CA91F" w14:textId="6D172814" w:rsidR="008B7424" w:rsidRPr="00C635BB" w:rsidRDefault="008B7424" w:rsidP="008B74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684" w:type="dxa"/>
          </w:tcPr>
          <w:p w14:paraId="1422BBBD" w14:textId="2C69781C" w:rsidR="008B7424" w:rsidRPr="00C635BB" w:rsidRDefault="008B7424" w:rsidP="008B74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19789A05" w:rsidR="008B7424" w:rsidRPr="00C635BB" w:rsidRDefault="008B7424" w:rsidP="008B742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3FD33552" w:rsidR="008B7424" w:rsidRPr="00C635BB" w:rsidRDefault="008B7424" w:rsidP="008B742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"Ephemeris": It might be clearer if the qualifier "as functions of time" were added at the beginning.</w:t>
            </w:r>
            <w:r w:rsidR="006F060B">
              <w:rPr>
                <w:rFonts w:cs="Arial"/>
                <w:sz w:val="22"/>
                <w:szCs w:val="22"/>
              </w:rPr>
              <w:t xml:space="preserve"> Some readings of this might construe the "as functions of time" as applying only to the attitude.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15F32D2B" w:rsidR="008B7424" w:rsidRPr="00C635BB" w:rsidRDefault="008B7424" w:rsidP="008B74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4968459" w14:textId="77777777" w:rsidR="006F060B" w:rsidRDefault="006F060B" w:rsidP="008B7424"/>
          <w:p w14:paraId="4F215D95" w14:textId="12F55388" w:rsidR="006F060B" w:rsidRDefault="006F060B" w:rsidP="008B7424">
            <w:r>
              <w:t>Consider changing:</w:t>
            </w:r>
          </w:p>
          <w:p w14:paraId="4793FA47" w14:textId="77777777" w:rsidR="006F060B" w:rsidRDefault="006F060B" w:rsidP="008B7424"/>
          <w:p w14:paraId="2ABA6F1B" w14:textId="5D6036C0" w:rsidR="008B7424" w:rsidRDefault="008B7424" w:rsidP="008B7424">
            <w:r>
              <w:t>From: existing text</w:t>
            </w:r>
          </w:p>
          <w:p w14:paraId="49EFAA06" w14:textId="5E648995" w:rsidR="008B7424" w:rsidRPr="00C635BB" w:rsidRDefault="008B7424" w:rsidP="008B7424">
            <w:r>
              <w:t xml:space="preserve">To:  "As functions of time, a list of positions... </w:t>
            </w:r>
            <w:r w:rsidR="006F060B">
              <w:t>and/or a list of orientation points..."</w:t>
            </w:r>
          </w:p>
        </w:tc>
        <w:tc>
          <w:tcPr>
            <w:tcW w:w="2079" w:type="dxa"/>
          </w:tcPr>
          <w:p w14:paraId="0A5A725D" w14:textId="77777777" w:rsidR="008B7424" w:rsidRPr="00C635BB" w:rsidRDefault="008B7424" w:rsidP="008B7424"/>
        </w:tc>
      </w:tr>
      <w:tr w:rsidR="006F060B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40F30D14" w:rsidR="006F060B" w:rsidRPr="00C635BB" w:rsidRDefault="006F060B" w:rsidP="006F060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062" w:type="dxa"/>
          </w:tcPr>
          <w:p w14:paraId="74573351" w14:textId="47498F42" w:rsidR="006F060B" w:rsidRPr="00C635BB" w:rsidRDefault="006F060B" w:rsidP="006F060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684" w:type="dxa"/>
          </w:tcPr>
          <w:p w14:paraId="08FA4856" w14:textId="6C09AC64" w:rsidR="006F060B" w:rsidRPr="00C635BB" w:rsidRDefault="006F060B" w:rsidP="006F060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67AF467F" w:rsidR="006F060B" w:rsidRPr="00C635BB" w:rsidRDefault="006F060B" w:rsidP="006F060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00CC86E5" w:rsidR="006F060B" w:rsidRPr="00C635BB" w:rsidRDefault="006F060B" w:rsidP="006F060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"Epoch":  Should we add at the beginning of the definition:  "An instant in time."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2D189939" w:rsidR="006F060B" w:rsidRPr="00C635BB" w:rsidRDefault="006F060B" w:rsidP="006F060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05BD09D3" w14:textId="4D4B1449" w:rsidR="006F060B" w:rsidRPr="00C635BB" w:rsidRDefault="006F060B" w:rsidP="006F060B">
            <w:r>
              <w:t>Consider.</w:t>
            </w:r>
          </w:p>
        </w:tc>
        <w:tc>
          <w:tcPr>
            <w:tcW w:w="2079" w:type="dxa"/>
          </w:tcPr>
          <w:p w14:paraId="402E85F8" w14:textId="77777777" w:rsidR="006F060B" w:rsidRPr="00C635BB" w:rsidRDefault="006F060B" w:rsidP="006F060B"/>
        </w:tc>
      </w:tr>
      <w:tr w:rsidR="006F060B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53AEF573" w:rsidR="006F060B" w:rsidRPr="00C635BB" w:rsidRDefault="006F060B" w:rsidP="006F060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062" w:type="dxa"/>
          </w:tcPr>
          <w:p w14:paraId="261738D0" w14:textId="7A0B1D48" w:rsidR="006F060B" w:rsidRPr="00C635BB" w:rsidRDefault="006F060B" w:rsidP="006F060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684" w:type="dxa"/>
          </w:tcPr>
          <w:p w14:paraId="4E144B7A" w14:textId="176F5190" w:rsidR="006F060B" w:rsidRPr="00C635BB" w:rsidRDefault="006F060B" w:rsidP="006F060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13D4DE9B" w:rsidR="006F060B" w:rsidRPr="00C635BB" w:rsidRDefault="006F060B" w:rsidP="006F060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57A367C5" w:rsidR="006F060B" w:rsidRPr="00C635BB" w:rsidRDefault="006F060B" w:rsidP="006F060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"Flight-to-flight": Typo in last word of "Suggested Definition" (far right column).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23BAE7F1" w:rsidR="006F060B" w:rsidRPr="00C635BB" w:rsidRDefault="006F060B" w:rsidP="006F060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BCE6F54" w14:textId="06DE9168" w:rsidR="006F060B" w:rsidRDefault="006F060B" w:rsidP="006F060B">
            <w:r>
              <w:t xml:space="preserve">From: "... </w:t>
            </w:r>
            <w:proofErr w:type="spellStart"/>
            <w:r>
              <w:t>partiipants</w:t>
            </w:r>
            <w:proofErr w:type="spellEnd"/>
            <w:r>
              <w:t>."</w:t>
            </w:r>
          </w:p>
          <w:p w14:paraId="32E012B9" w14:textId="237D058B" w:rsidR="006F060B" w:rsidRPr="00C635BB" w:rsidRDefault="006F060B" w:rsidP="006F060B">
            <w:r>
              <w:t>To:  "... participants."</w:t>
            </w:r>
          </w:p>
        </w:tc>
        <w:tc>
          <w:tcPr>
            <w:tcW w:w="2079" w:type="dxa"/>
          </w:tcPr>
          <w:p w14:paraId="593B187A" w14:textId="77777777" w:rsidR="006F060B" w:rsidRPr="00C635BB" w:rsidRDefault="006F060B" w:rsidP="006F060B"/>
        </w:tc>
      </w:tr>
      <w:tr w:rsidR="006F060B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513DB905" w:rsidR="006F060B" w:rsidRPr="00C635BB" w:rsidRDefault="006F060B" w:rsidP="006F060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062" w:type="dxa"/>
          </w:tcPr>
          <w:p w14:paraId="392C0CE6" w14:textId="2FE9F57F" w:rsidR="006F060B" w:rsidRPr="00C635BB" w:rsidRDefault="006F060B" w:rsidP="006F060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684" w:type="dxa"/>
          </w:tcPr>
          <w:p w14:paraId="53ECE5DB" w14:textId="56AC8B22" w:rsidR="006F060B" w:rsidRPr="00C635BB" w:rsidRDefault="006F060B" w:rsidP="006F060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322A559C" w:rsidR="006F060B" w:rsidRPr="00C635BB" w:rsidRDefault="006F060B" w:rsidP="006F060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2881AF47" w:rsidR="006F060B" w:rsidRPr="00C635BB" w:rsidRDefault="006F060B" w:rsidP="006F060B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"Orbital Elements": Verb/subject agreement in "Suggested Definition" (far right column).</w:t>
            </w:r>
            <w:r w:rsidR="006D7C7E">
              <w:rPr>
                <w:rFonts w:cs="Arial"/>
                <w:sz w:val="22"/>
                <w:szCs w:val="22"/>
              </w:rPr>
              <w:t xml:space="preserve"> Subject "set" is singular, verb "describe" is plural.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5460BFEC" w:rsidR="006F060B" w:rsidRPr="00C635BB" w:rsidRDefault="006F060B" w:rsidP="006F060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FBA4B13" w14:textId="77777777" w:rsidR="006F060B" w:rsidRDefault="006F060B" w:rsidP="006F060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"... completely describe..."</w:t>
            </w:r>
          </w:p>
          <w:p w14:paraId="12E67E81" w14:textId="3EB13298" w:rsidR="006F060B" w:rsidRPr="00C635BB" w:rsidRDefault="006F060B" w:rsidP="006F060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"... completely describes..."</w:t>
            </w:r>
          </w:p>
        </w:tc>
        <w:tc>
          <w:tcPr>
            <w:tcW w:w="2079" w:type="dxa"/>
          </w:tcPr>
          <w:p w14:paraId="2F8FC6B3" w14:textId="77777777" w:rsidR="006F060B" w:rsidRPr="00C635BB" w:rsidRDefault="006F060B" w:rsidP="006F060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AE5A" w14:textId="77777777" w:rsidR="003E713E" w:rsidRDefault="003E713E">
      <w:r>
        <w:separator/>
      </w:r>
    </w:p>
  </w:endnote>
  <w:endnote w:type="continuationSeparator" w:id="0">
    <w:p w14:paraId="2B52A98C" w14:textId="77777777" w:rsidR="003E713E" w:rsidRDefault="003E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554C" w14:textId="77777777" w:rsidR="00242433" w:rsidRDefault="00242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F0F8" w14:textId="77777777" w:rsidR="00242433" w:rsidRDefault="00242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07164" w14:textId="77777777" w:rsidR="003E713E" w:rsidRDefault="003E713E">
      <w:r>
        <w:separator/>
      </w:r>
    </w:p>
  </w:footnote>
  <w:footnote w:type="continuationSeparator" w:id="0">
    <w:p w14:paraId="49EEC7BE" w14:textId="77777777" w:rsidR="003E713E" w:rsidRDefault="003E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9A828" w14:textId="77777777" w:rsidR="00242433" w:rsidRDefault="00242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19700348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&lt;</w:t>
    </w:r>
    <w:r w:rsidR="00242433" w:rsidRPr="00242433">
      <w:t xml:space="preserve"> </w:t>
    </w:r>
    <w:r w:rsidR="00242433" w:rsidRPr="00242433">
      <w:rPr>
        <w:bCs/>
        <w:color w:val="3366FF"/>
        <w:sz w:val="22"/>
      </w:rPr>
      <w:t>SANA-Glossary-against SANA 13Mar2019</w:t>
    </w:r>
    <w:r w:rsidR="00242433">
      <w:rPr>
        <w:bCs/>
        <w:color w:val="3366FF"/>
        <w:sz w:val="22"/>
      </w:rPr>
      <w:t>.xlxs</w:t>
    </w:r>
    <w:r>
      <w:rPr>
        <w:bCs/>
        <w:color w:val="3366FF"/>
        <w:sz w:val="22"/>
      </w:rPr>
      <w:t>&gt;</w:t>
    </w:r>
  </w:p>
  <w:p w14:paraId="2FABCE12" w14:textId="6F7ADF58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&lt;</w:t>
    </w:r>
    <w:r w:rsidR="00242433">
      <w:rPr>
        <w:bCs/>
        <w:color w:val="3366FF"/>
        <w:sz w:val="22"/>
      </w:rPr>
      <w:t>13March2019</w:t>
    </w:r>
    <w:r>
      <w:rPr>
        <w:bCs/>
        <w:color w:val="3366FF"/>
        <w:sz w:val="22"/>
      </w:rPr>
      <w:t>&gt;</w:t>
    </w:r>
  </w:p>
  <w:p w14:paraId="3F82E198" w14:textId="77777777" w:rsidR="003E7DFC" w:rsidRDefault="003E7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9A4E" w14:textId="77777777" w:rsidR="00242433" w:rsidRDefault="00242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52D48"/>
    <w:rsid w:val="00171F07"/>
    <w:rsid w:val="00194C58"/>
    <w:rsid w:val="001A2616"/>
    <w:rsid w:val="001A2870"/>
    <w:rsid w:val="001B35D7"/>
    <w:rsid w:val="001C0CE8"/>
    <w:rsid w:val="001D0241"/>
    <w:rsid w:val="001E0077"/>
    <w:rsid w:val="001F5D6C"/>
    <w:rsid w:val="00222BD5"/>
    <w:rsid w:val="00242433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13E"/>
    <w:rsid w:val="003E7DFC"/>
    <w:rsid w:val="004004B4"/>
    <w:rsid w:val="00445953"/>
    <w:rsid w:val="004627B6"/>
    <w:rsid w:val="004A29BE"/>
    <w:rsid w:val="004B7494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934CA"/>
    <w:rsid w:val="005A3709"/>
    <w:rsid w:val="00661D36"/>
    <w:rsid w:val="006869D8"/>
    <w:rsid w:val="006A3A3E"/>
    <w:rsid w:val="006A77EB"/>
    <w:rsid w:val="006C3CBF"/>
    <w:rsid w:val="006C6053"/>
    <w:rsid w:val="006D7C7E"/>
    <w:rsid w:val="006E1633"/>
    <w:rsid w:val="006F060B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B7424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6A20"/>
    <w:rsid w:val="00DD7FF2"/>
    <w:rsid w:val="00DF36FF"/>
    <w:rsid w:val="00E23B23"/>
    <w:rsid w:val="00E5246A"/>
    <w:rsid w:val="00E661EE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60D61"/>
  <w15:docId w15:val="{B9FC1168-A530-2047-9A13-A0E80DBD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90766C-6083-664A-A15F-DE5CDEF0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6</cp:revision>
  <cp:lastPrinted>2003-02-28T21:24:00Z</cp:lastPrinted>
  <dcterms:created xsi:type="dcterms:W3CDTF">2019-03-13T17:53:00Z</dcterms:created>
  <dcterms:modified xsi:type="dcterms:W3CDTF">2019-03-22T21:28:00Z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