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BA49" w14:textId="77777777" w:rsidR="007651E5" w:rsidRDefault="007651E5" w:rsidP="007651E5">
      <w:pPr>
        <w:jc w:val="center"/>
        <w:rPr>
          <w:sz w:val="36"/>
          <w:szCs w:val="36"/>
        </w:rPr>
      </w:pPr>
      <w:r>
        <w:rPr>
          <w:sz w:val="36"/>
          <w:szCs w:val="36"/>
        </w:rPr>
        <w:t>CCSDS NAVIGATION STANDARDS NORMATIVE ANNEXES</w:t>
      </w:r>
    </w:p>
    <w:p w14:paraId="2FDE123A" w14:textId="15B6316E" w:rsidR="007651E5" w:rsidRPr="007651E5" w:rsidRDefault="007651E5" w:rsidP="007651E5">
      <w:pPr>
        <w:jc w:val="center"/>
        <w:rPr>
          <w:sz w:val="36"/>
          <w:szCs w:val="36"/>
        </w:rPr>
      </w:pPr>
      <w:r w:rsidRPr="007651E5">
        <w:rPr>
          <w:sz w:val="36"/>
          <w:szCs w:val="36"/>
        </w:rPr>
        <w:t>TIME SYSTEMS</w:t>
      </w:r>
      <w:r>
        <w:rPr>
          <w:sz w:val="36"/>
          <w:szCs w:val="36"/>
        </w:rPr>
        <w:t xml:space="preserve"> REGISTRY</w:t>
      </w:r>
    </w:p>
    <w:p w14:paraId="63BF99AE" w14:textId="77777777" w:rsidR="007651E5" w:rsidRPr="007651E5" w:rsidRDefault="007651E5" w:rsidP="007651E5">
      <w:pPr>
        <w:spacing w:before="100" w:beforeAutospacing="1" w:after="100" w:afterAutospacing="1" w:line="240" w:lineRule="auto"/>
        <w:jc w:val="left"/>
        <w:rPr>
          <w:szCs w:val="24"/>
        </w:rPr>
      </w:pPr>
      <w:r w:rsidRPr="007651E5">
        <w:rPr>
          <w:b/>
          <w:bCs/>
          <w:szCs w:val="24"/>
        </w:rPr>
        <w:t>Policy:</w:t>
      </w:r>
      <w:r w:rsidRPr="007651E5">
        <w:rPr>
          <w:szCs w:val="24"/>
        </w:rPr>
        <w:t>  Expert Review</w:t>
      </w:r>
    </w:p>
    <w:p w14:paraId="487787D2" w14:textId="77777777" w:rsidR="007651E5" w:rsidRPr="007651E5" w:rsidRDefault="007651E5" w:rsidP="007651E5">
      <w:pPr>
        <w:spacing w:before="100" w:beforeAutospacing="1" w:after="100" w:afterAutospacing="1" w:line="240" w:lineRule="auto"/>
        <w:jc w:val="left"/>
        <w:rPr>
          <w:szCs w:val="24"/>
        </w:rPr>
      </w:pPr>
      <w:r w:rsidRPr="007651E5">
        <w:rPr>
          <w:b/>
          <w:bCs/>
          <w:szCs w:val="24"/>
        </w:rPr>
        <w:t>Authority:</w:t>
      </w:r>
      <w:r w:rsidRPr="007651E5">
        <w:rPr>
          <w:szCs w:val="24"/>
        </w:rPr>
        <w:t>  CCSDS.MOIMS.NAV</w:t>
      </w:r>
    </w:p>
    <w:p w14:paraId="2CA25470" w14:textId="77777777" w:rsidR="007651E5" w:rsidRPr="007651E5" w:rsidRDefault="007651E5" w:rsidP="007651E5">
      <w:pPr>
        <w:spacing w:before="100" w:beforeAutospacing="1" w:after="100" w:afterAutospacing="1" w:line="240" w:lineRule="auto"/>
        <w:jc w:val="left"/>
        <w:rPr>
          <w:szCs w:val="24"/>
        </w:rPr>
      </w:pPr>
      <w:r w:rsidRPr="007651E5">
        <w:rPr>
          <w:b/>
          <w:bCs/>
          <w:szCs w:val="24"/>
        </w:rPr>
        <w:t>OID:</w:t>
      </w:r>
      <w:r w:rsidRPr="007651E5">
        <w:rPr>
          <w:szCs w:val="24"/>
        </w:rPr>
        <w:t xml:space="preserve">  1.3.112.4.X.1 </w:t>
      </w:r>
    </w:p>
    <w:p w14:paraId="6A8E1BA9" w14:textId="77777777" w:rsidR="007651E5" w:rsidRPr="007651E5" w:rsidRDefault="007651E5" w:rsidP="007651E5">
      <w:pPr>
        <w:spacing w:before="100" w:beforeAutospacing="1" w:after="100" w:afterAutospacing="1" w:line="240" w:lineRule="auto"/>
        <w:jc w:val="left"/>
        <w:rPr>
          <w:szCs w:val="24"/>
        </w:rPr>
      </w:pPr>
      <w:r w:rsidRPr="007651E5">
        <w:rPr>
          <w:b/>
          <w:bCs/>
          <w:szCs w:val="24"/>
        </w:rPr>
        <w:t>References:</w:t>
      </w:r>
      <w:r w:rsidRPr="007651E5">
        <w:rPr>
          <w:szCs w:val="24"/>
        </w:rPr>
        <w:t xml:space="preserve"> </w:t>
      </w:r>
    </w:p>
    <w:p w14:paraId="68C80D77" w14:textId="77777777" w:rsidR="007651E5" w:rsidRPr="007651E5" w:rsidRDefault="00AE1B9F" w:rsidP="007651E5">
      <w:pPr>
        <w:numPr>
          <w:ilvl w:val="0"/>
          <w:numId w:val="7"/>
        </w:numPr>
        <w:spacing w:before="100" w:beforeAutospacing="1" w:after="100" w:afterAutospacing="1" w:line="240" w:lineRule="auto"/>
        <w:jc w:val="left"/>
        <w:rPr>
          <w:szCs w:val="24"/>
        </w:rPr>
      </w:pPr>
      <w:hyperlink r:id="rId6" w:history="1">
        <w:r w:rsidR="007651E5" w:rsidRPr="007651E5">
          <w:rPr>
            <w:color w:val="0000FF"/>
            <w:szCs w:val="24"/>
            <w:u w:val="single"/>
          </w:rPr>
          <w:t>[ccsds-502.0-B-2]</w:t>
        </w:r>
      </w:hyperlink>
      <w:r w:rsidR="007651E5" w:rsidRPr="007651E5">
        <w:rPr>
          <w:szCs w:val="24"/>
        </w:rPr>
        <w:t xml:space="preserve"> </w:t>
      </w:r>
    </w:p>
    <w:p w14:paraId="5DB97DB9" w14:textId="77777777" w:rsidR="007651E5" w:rsidRPr="007651E5" w:rsidRDefault="00AE1B9F" w:rsidP="007651E5">
      <w:pPr>
        <w:numPr>
          <w:ilvl w:val="0"/>
          <w:numId w:val="7"/>
        </w:numPr>
        <w:spacing w:before="100" w:beforeAutospacing="1" w:after="100" w:afterAutospacing="1" w:line="240" w:lineRule="auto"/>
        <w:jc w:val="left"/>
        <w:rPr>
          <w:szCs w:val="24"/>
        </w:rPr>
      </w:pPr>
      <w:hyperlink r:id="rId7" w:history="1">
        <w:r w:rsidR="007651E5" w:rsidRPr="007651E5">
          <w:rPr>
            <w:color w:val="0000FF"/>
            <w:szCs w:val="24"/>
            <w:u w:val="single"/>
          </w:rPr>
          <w:t>[ccsds-503.0-B-1]</w:t>
        </w:r>
      </w:hyperlink>
      <w:r w:rsidR="007651E5" w:rsidRPr="007651E5">
        <w:rPr>
          <w:szCs w:val="24"/>
        </w:rPr>
        <w:t xml:space="preserve"> </w:t>
      </w:r>
    </w:p>
    <w:p w14:paraId="756DF703" w14:textId="12FD6D3A" w:rsidR="007651E5" w:rsidRPr="007651E5" w:rsidRDefault="00AE1B9F" w:rsidP="007651E5">
      <w:pPr>
        <w:numPr>
          <w:ilvl w:val="0"/>
          <w:numId w:val="7"/>
        </w:numPr>
        <w:spacing w:before="100" w:beforeAutospacing="1" w:after="100" w:afterAutospacing="1" w:line="240" w:lineRule="auto"/>
        <w:jc w:val="left"/>
        <w:rPr>
          <w:szCs w:val="24"/>
        </w:rPr>
      </w:pPr>
      <w:hyperlink r:id="rId8" w:history="1">
        <w:r w:rsidR="007651E5" w:rsidRPr="007651E5">
          <w:rPr>
            <w:color w:val="0000FF"/>
            <w:szCs w:val="24"/>
            <w:u w:val="single"/>
          </w:rPr>
          <w:t>[ccsds-504.0-B-1]</w:t>
        </w:r>
      </w:hyperlink>
      <w:r w:rsidR="007651E5" w:rsidRPr="007651E5">
        <w:rPr>
          <w:szCs w:val="24"/>
        </w:rPr>
        <w:t xml:space="preserve"> </w:t>
      </w:r>
    </w:p>
    <w:p w14:paraId="0992FCB4" w14:textId="77777777" w:rsidR="007651E5" w:rsidRDefault="00765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B50AAB" w:rsidRPr="00B50AAB" w14:paraId="72D80CCD" w14:textId="77777777" w:rsidTr="00764AB4">
        <w:tc>
          <w:tcPr>
            <w:tcW w:w="2054" w:type="dxa"/>
            <w:shd w:val="clear" w:color="auto" w:fill="C0C0C0"/>
            <w:tcMar>
              <w:top w:w="29" w:type="dxa"/>
              <w:bottom w:w="29" w:type="dxa"/>
            </w:tcMar>
          </w:tcPr>
          <w:p w14:paraId="6E64FC03" w14:textId="77777777" w:rsidR="00B50AAB" w:rsidRPr="00B50AAB" w:rsidRDefault="00B50AAB" w:rsidP="00B50AAB">
            <w:pPr>
              <w:widowControl w:val="0"/>
              <w:spacing w:before="0" w:line="240" w:lineRule="auto"/>
              <w:jc w:val="left"/>
              <w:rPr>
                <w:b/>
                <w:szCs w:val="24"/>
              </w:rPr>
            </w:pPr>
            <w:bookmarkStart w:id="0" w:name="_GoBack"/>
            <w:r w:rsidRPr="00B50AAB">
              <w:rPr>
                <w:b/>
                <w:szCs w:val="24"/>
              </w:rPr>
              <w:t>Name</w:t>
            </w:r>
            <w:bookmarkEnd w:id="0"/>
          </w:p>
        </w:tc>
        <w:tc>
          <w:tcPr>
            <w:tcW w:w="7754" w:type="dxa"/>
            <w:shd w:val="clear" w:color="auto" w:fill="C0C0C0"/>
          </w:tcPr>
          <w:p w14:paraId="3324F82D" w14:textId="77777777" w:rsidR="00B50AAB" w:rsidRPr="00B50AAB" w:rsidRDefault="00B50AAB" w:rsidP="00B50AAB">
            <w:pPr>
              <w:widowControl w:val="0"/>
              <w:spacing w:before="0" w:line="240" w:lineRule="auto"/>
              <w:rPr>
                <w:b/>
                <w:szCs w:val="24"/>
              </w:rPr>
            </w:pPr>
            <w:r w:rsidRPr="00B50AAB">
              <w:rPr>
                <w:b/>
                <w:szCs w:val="24"/>
              </w:rPr>
              <w:t>Description and Reference</w:t>
            </w:r>
          </w:p>
        </w:tc>
        <w:tc>
          <w:tcPr>
            <w:tcW w:w="1669" w:type="dxa"/>
            <w:shd w:val="clear" w:color="auto" w:fill="C0C0C0"/>
          </w:tcPr>
          <w:p w14:paraId="2C519E35" w14:textId="77777777" w:rsidR="00B50AAB" w:rsidRPr="00B50AAB" w:rsidRDefault="00B50AAB" w:rsidP="00B50AAB">
            <w:pPr>
              <w:widowControl w:val="0"/>
              <w:spacing w:before="0" w:line="240" w:lineRule="auto"/>
              <w:rPr>
                <w:b/>
                <w:szCs w:val="24"/>
              </w:rPr>
            </w:pPr>
            <w:r w:rsidRPr="00B50AAB">
              <w:rPr>
                <w:b/>
                <w:szCs w:val="24"/>
              </w:rPr>
              <w:t>Nomenclature</w:t>
            </w:r>
          </w:p>
        </w:tc>
        <w:tc>
          <w:tcPr>
            <w:tcW w:w="1473" w:type="dxa"/>
            <w:shd w:val="clear" w:color="auto" w:fill="C0C0C0"/>
          </w:tcPr>
          <w:p w14:paraId="522F1226" w14:textId="77777777" w:rsidR="00B50AAB" w:rsidRPr="00B50AAB" w:rsidRDefault="00B50AAB" w:rsidP="00B50AAB">
            <w:pPr>
              <w:widowControl w:val="0"/>
              <w:spacing w:before="0" w:line="240" w:lineRule="auto"/>
              <w:rPr>
                <w:b/>
                <w:szCs w:val="24"/>
              </w:rPr>
            </w:pPr>
            <w:r w:rsidRPr="00B50AAB">
              <w:rPr>
                <w:b/>
                <w:szCs w:val="24"/>
              </w:rPr>
              <w:t>Default Units/Type</w:t>
            </w:r>
          </w:p>
        </w:tc>
      </w:tr>
      <w:tr w:rsidR="00B50AAB" w:rsidRPr="00B50AAB" w14:paraId="1B5053E0" w14:textId="77777777" w:rsidTr="00AE1B9F">
        <w:tc>
          <w:tcPr>
            <w:tcW w:w="2054" w:type="dxa"/>
            <w:shd w:val="clear" w:color="auto" w:fill="auto"/>
            <w:tcMar>
              <w:top w:w="58" w:type="dxa"/>
              <w:bottom w:w="58" w:type="dxa"/>
            </w:tcMar>
          </w:tcPr>
          <w:p w14:paraId="656FFBDF"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BEIDOU</w:t>
            </w:r>
          </w:p>
        </w:tc>
        <w:tc>
          <w:tcPr>
            <w:tcW w:w="7754" w:type="dxa"/>
          </w:tcPr>
          <w:p w14:paraId="141E8D54" w14:textId="55A68B13" w:rsidR="00B50AAB" w:rsidRPr="00B50AAB" w:rsidRDefault="00B50AAB" w:rsidP="00B50AAB">
            <w:pPr>
              <w:widowControl w:val="0"/>
              <w:tabs>
                <w:tab w:val="left" w:pos="576"/>
              </w:tabs>
              <w:spacing w:before="0" w:after="20" w:line="240" w:lineRule="auto"/>
              <w:ind w:left="-100" w:firstLine="4"/>
              <w:rPr>
                <w:szCs w:val="24"/>
              </w:rPr>
            </w:pPr>
            <w:proofErr w:type="spellStart"/>
            <w:r w:rsidRPr="00B50AAB">
              <w:rPr>
                <w:color w:val="252525"/>
                <w:szCs w:val="24"/>
                <w:shd w:val="clear" w:color="auto" w:fill="FFFFFF"/>
              </w:rPr>
              <w:t>BeiDou</w:t>
            </w:r>
            <w:proofErr w:type="spellEnd"/>
            <w:r w:rsidRPr="00B50AAB">
              <w:rPr>
                <w:color w:val="252525"/>
                <w:szCs w:val="24"/>
                <w:shd w:val="clear" w:color="auto" w:fill="FFFFFF"/>
              </w:rPr>
              <w:t xml:space="preserve"> Time (BDT) is a continuous time scale starting at </w:t>
            </w:r>
            <w:r w:rsidR="00AB5AFD">
              <w:rPr>
                <w:szCs w:val="24"/>
              </w:rPr>
              <w:t>0000</w:t>
            </w:r>
            <w:r w:rsidRPr="00B50AAB">
              <w:rPr>
                <w:color w:val="252525"/>
                <w:szCs w:val="24"/>
                <w:shd w:val="clear" w:color="auto" w:fill="FFFFFF"/>
              </w:rPr>
              <w:t> UTC on January 1st, 2006 and is synchronized with UTC within 100 ns</w:t>
            </w:r>
            <w:r w:rsidR="000D3B91">
              <w:rPr>
                <w:color w:val="252525"/>
                <w:szCs w:val="24"/>
                <w:shd w:val="clear" w:color="auto" w:fill="FFFFFF"/>
              </w:rPr>
              <w:t xml:space="preserve"> </w:t>
            </w:r>
            <w:r w:rsidRPr="00B50AAB">
              <w:rPr>
                <w:color w:val="252525"/>
                <w:szCs w:val="24"/>
                <w:shd w:val="clear" w:color="auto" w:fill="FFFFFF"/>
              </w:rPr>
              <w:t>&lt; (modulo one second).</w:t>
            </w:r>
          </w:p>
        </w:tc>
        <w:tc>
          <w:tcPr>
            <w:tcW w:w="1669" w:type="dxa"/>
          </w:tcPr>
          <w:p w14:paraId="732097E5" w14:textId="77777777" w:rsidR="00B50AAB" w:rsidRPr="00B50AAB" w:rsidRDefault="00B50AAB" w:rsidP="00B50AAB">
            <w:pPr>
              <w:widowControl w:val="0"/>
              <w:spacing w:before="0" w:line="240" w:lineRule="auto"/>
              <w:jc w:val="center"/>
              <w:rPr>
                <w:szCs w:val="24"/>
              </w:rPr>
            </w:pPr>
          </w:p>
        </w:tc>
        <w:tc>
          <w:tcPr>
            <w:tcW w:w="1473" w:type="dxa"/>
          </w:tcPr>
          <w:p w14:paraId="447017DD" w14:textId="77777777" w:rsidR="00B50AAB" w:rsidRPr="00B50AAB" w:rsidRDefault="00B50AAB" w:rsidP="00B50AAB">
            <w:pPr>
              <w:widowControl w:val="0"/>
              <w:spacing w:before="0" w:line="240" w:lineRule="auto"/>
              <w:jc w:val="center"/>
              <w:rPr>
                <w:szCs w:val="24"/>
              </w:rPr>
            </w:pPr>
          </w:p>
        </w:tc>
      </w:tr>
      <w:tr w:rsidR="00B50AAB" w:rsidRPr="00B50AAB" w14:paraId="05C97097" w14:textId="77777777" w:rsidTr="00AE1B9F">
        <w:tc>
          <w:tcPr>
            <w:tcW w:w="2054" w:type="dxa"/>
            <w:shd w:val="clear" w:color="auto" w:fill="auto"/>
            <w:tcMar>
              <w:top w:w="58" w:type="dxa"/>
              <w:bottom w:w="58" w:type="dxa"/>
            </w:tcMar>
          </w:tcPr>
          <w:p w14:paraId="73AE8300"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ET</w:t>
            </w:r>
          </w:p>
        </w:tc>
        <w:tc>
          <w:tcPr>
            <w:tcW w:w="7754" w:type="dxa"/>
          </w:tcPr>
          <w:p w14:paraId="08E493E9" w14:textId="371B856D" w:rsidR="00B50AAB" w:rsidRPr="00B50AAB" w:rsidRDefault="00B50AAB" w:rsidP="00B50AAB">
            <w:pPr>
              <w:widowControl w:val="0"/>
              <w:tabs>
                <w:tab w:val="left" w:pos="576"/>
              </w:tabs>
              <w:spacing w:before="0" w:after="20" w:line="240" w:lineRule="auto"/>
              <w:ind w:left="-100" w:firstLine="4"/>
              <w:rPr>
                <w:color w:val="252525"/>
                <w:szCs w:val="24"/>
                <w:shd w:val="clear" w:color="auto" w:fill="FFFFFF"/>
              </w:rPr>
            </w:pPr>
            <w:r w:rsidRPr="00B50AAB">
              <w:rPr>
                <w:color w:val="252525"/>
                <w:szCs w:val="24"/>
                <w:shd w:val="clear" w:color="auto" w:fill="FFFFFF"/>
              </w:rPr>
              <w:t>Ephemeris Time, (ET), the first dynamical time scale in history; it was defined by the International Astronomical Union in the 1950s and was superseded by Barycentric Dynamical Time in 1984.</w:t>
            </w:r>
          </w:p>
        </w:tc>
        <w:tc>
          <w:tcPr>
            <w:tcW w:w="1669" w:type="dxa"/>
          </w:tcPr>
          <w:p w14:paraId="440AFD54" w14:textId="77777777" w:rsidR="00B50AAB" w:rsidRPr="00B50AAB" w:rsidRDefault="00B50AAB" w:rsidP="00B50AAB">
            <w:pPr>
              <w:widowControl w:val="0"/>
              <w:spacing w:before="0" w:line="240" w:lineRule="auto"/>
              <w:jc w:val="center"/>
              <w:rPr>
                <w:szCs w:val="24"/>
              </w:rPr>
            </w:pPr>
          </w:p>
        </w:tc>
        <w:tc>
          <w:tcPr>
            <w:tcW w:w="1473" w:type="dxa"/>
          </w:tcPr>
          <w:p w14:paraId="74A55561" w14:textId="77777777" w:rsidR="00B50AAB" w:rsidRPr="00B50AAB" w:rsidRDefault="00B50AAB" w:rsidP="00B50AAB">
            <w:pPr>
              <w:widowControl w:val="0"/>
              <w:spacing w:before="0" w:line="240" w:lineRule="auto"/>
              <w:jc w:val="center"/>
              <w:rPr>
                <w:szCs w:val="24"/>
              </w:rPr>
            </w:pPr>
          </w:p>
        </w:tc>
      </w:tr>
      <w:tr w:rsidR="00B50AAB" w:rsidRPr="00B50AAB" w14:paraId="642EC150" w14:textId="77777777" w:rsidTr="00AE1B9F">
        <w:tc>
          <w:tcPr>
            <w:tcW w:w="2054" w:type="dxa"/>
            <w:shd w:val="clear" w:color="auto" w:fill="auto"/>
            <w:tcMar>
              <w:top w:w="58" w:type="dxa"/>
              <w:bottom w:w="58" w:type="dxa"/>
            </w:tcMar>
          </w:tcPr>
          <w:p w14:paraId="1BF0F832"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GALILEO</w:t>
            </w:r>
          </w:p>
        </w:tc>
        <w:tc>
          <w:tcPr>
            <w:tcW w:w="7754" w:type="dxa"/>
          </w:tcPr>
          <w:p w14:paraId="066E5781" w14:textId="2FBEDFC5" w:rsidR="00B50AAB" w:rsidRPr="00B50AAB" w:rsidRDefault="00B50AAB" w:rsidP="00B50AAB">
            <w:pPr>
              <w:widowControl w:val="0"/>
              <w:tabs>
                <w:tab w:val="left" w:pos="576"/>
              </w:tabs>
              <w:spacing w:before="0" w:after="20" w:line="240" w:lineRule="auto"/>
              <w:ind w:left="-100" w:firstLine="4"/>
              <w:rPr>
                <w:szCs w:val="24"/>
              </w:rPr>
            </w:pPr>
            <w:r w:rsidRPr="00B50AAB">
              <w:rPr>
                <w:color w:val="252525"/>
                <w:szCs w:val="24"/>
                <w:shd w:val="clear" w:color="auto" w:fill="FFFFFF"/>
              </w:rPr>
              <w:t xml:space="preserve">Galileo System Time (GST) is a continuous time scale maintained by the Galileo Central Segment and synchronized with TAI with a nominal offset below 50 ns. The GST start epoch is </w:t>
            </w:r>
            <w:r w:rsidR="00AB5AFD">
              <w:rPr>
                <w:szCs w:val="24"/>
              </w:rPr>
              <w:t>0000</w:t>
            </w:r>
            <w:r w:rsidRPr="00B50AAB">
              <w:rPr>
                <w:color w:val="252525"/>
                <w:szCs w:val="24"/>
                <w:shd w:val="clear" w:color="auto" w:fill="FFFFFF"/>
              </w:rPr>
              <w:t> UTC on Sunday, 22 August 1999 (midnight between 21 and 22 August).</w:t>
            </w:r>
          </w:p>
        </w:tc>
        <w:tc>
          <w:tcPr>
            <w:tcW w:w="1669" w:type="dxa"/>
          </w:tcPr>
          <w:p w14:paraId="521FB253" w14:textId="77777777" w:rsidR="00B50AAB" w:rsidRPr="00B50AAB" w:rsidRDefault="00B50AAB" w:rsidP="00B50AAB">
            <w:pPr>
              <w:widowControl w:val="0"/>
              <w:spacing w:before="0" w:line="240" w:lineRule="auto"/>
              <w:jc w:val="center"/>
              <w:rPr>
                <w:szCs w:val="24"/>
              </w:rPr>
            </w:pPr>
          </w:p>
        </w:tc>
        <w:tc>
          <w:tcPr>
            <w:tcW w:w="1473" w:type="dxa"/>
          </w:tcPr>
          <w:p w14:paraId="2508F86A" w14:textId="77777777" w:rsidR="00B50AAB" w:rsidRPr="00B50AAB" w:rsidRDefault="00B50AAB" w:rsidP="00B50AAB">
            <w:pPr>
              <w:widowControl w:val="0"/>
              <w:spacing w:before="0" w:line="240" w:lineRule="auto"/>
              <w:jc w:val="center"/>
              <w:rPr>
                <w:szCs w:val="24"/>
              </w:rPr>
            </w:pPr>
          </w:p>
        </w:tc>
      </w:tr>
      <w:tr w:rsidR="00B50AAB" w:rsidRPr="00B50AAB" w14:paraId="06F5EF0F" w14:textId="77777777" w:rsidTr="00AE1B9F">
        <w:tc>
          <w:tcPr>
            <w:tcW w:w="2054" w:type="dxa"/>
            <w:shd w:val="clear" w:color="auto" w:fill="auto"/>
            <w:tcMar>
              <w:top w:w="58" w:type="dxa"/>
              <w:bottom w:w="58" w:type="dxa"/>
            </w:tcMar>
          </w:tcPr>
          <w:p w14:paraId="70BB0CDA"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GLONASS</w:t>
            </w:r>
          </w:p>
        </w:tc>
        <w:tc>
          <w:tcPr>
            <w:tcW w:w="7754" w:type="dxa"/>
          </w:tcPr>
          <w:p w14:paraId="52E8EB86" w14:textId="35DA6F5B" w:rsidR="00B50AAB" w:rsidRPr="00B50AAB" w:rsidRDefault="00B50AAB" w:rsidP="00B50AAB">
            <w:pPr>
              <w:widowControl w:val="0"/>
              <w:tabs>
                <w:tab w:val="left" w:pos="576"/>
              </w:tabs>
              <w:spacing w:before="0" w:after="20" w:line="240" w:lineRule="auto"/>
              <w:ind w:left="-100" w:firstLine="4"/>
              <w:rPr>
                <w:szCs w:val="24"/>
              </w:rPr>
            </w:pPr>
            <w:r w:rsidRPr="00B50AAB">
              <w:rPr>
                <w:color w:val="252525"/>
                <w:szCs w:val="24"/>
                <w:shd w:val="clear" w:color="auto" w:fill="FFFFFF"/>
              </w:rPr>
              <w:t xml:space="preserve">GLONASS Time (GLONASST) is generated by the GLONASS Central </w:t>
            </w:r>
            <w:r w:rsidRPr="00B50AAB">
              <w:rPr>
                <w:color w:val="252525"/>
                <w:szCs w:val="24"/>
                <w:shd w:val="clear" w:color="auto" w:fill="FFFFFF"/>
              </w:rPr>
              <w:lastRenderedPageBreak/>
              <w:t>Synchronizer and the difference between the UTC</w:t>
            </w:r>
            <w:r w:rsidR="000D3B91">
              <w:rPr>
                <w:color w:val="252525"/>
                <w:szCs w:val="24"/>
                <w:shd w:val="clear" w:color="auto" w:fill="FFFFFF"/>
              </w:rPr>
              <w:t xml:space="preserve"> </w:t>
            </w:r>
            <w:r w:rsidRPr="00B50AAB">
              <w:rPr>
                <w:color w:val="252525"/>
                <w:szCs w:val="24"/>
                <w:shd w:val="clear" w:color="auto" w:fill="FFFFFF"/>
              </w:rPr>
              <w:t>(SU) and GLONASST should not exceed 1 millisecond plus three hours</w:t>
            </w:r>
            <w:r>
              <w:rPr>
                <w:color w:val="252525"/>
                <w:szCs w:val="24"/>
                <w:shd w:val="clear" w:color="auto" w:fill="FFFFFF"/>
              </w:rPr>
              <w:t xml:space="preserve"> </w:t>
            </w:r>
            <w:hyperlink r:id="rId9" w:anchor="cite_note-2" w:history="1">
              <w:r w:rsidRPr="00B50AAB">
                <w:rPr>
                  <w:rStyle w:val="Hyperlink"/>
                  <w:szCs w:val="24"/>
                </w:rPr>
                <w:t>http://www.navipedia.net/index.php/Time_References_in_GNSS - cite_note-2</w:t>
              </w:r>
            </w:hyperlink>
            <w:r w:rsidRPr="00B50AAB">
              <w:rPr>
                <w:color w:val="252525"/>
                <w:szCs w:val="24"/>
                <w:shd w:val="clear" w:color="auto" w:fill="FFFFFF"/>
              </w:rPr>
              <w:t> (the difference between Moscow Time and Greenwich Mean Time (GMT)), but </w:t>
            </w:r>
            <w:r w:rsidRPr="00B50AAB">
              <w:rPr>
                <w:noProof/>
                <w:szCs w:val="24"/>
                <w:lang w:val="es-ES" w:eastAsia="es-ES"/>
              </w:rPr>
              <w:drawing>
                <wp:inline distT="0" distB="0" distL="0" distR="0" wp14:anchorId="30E84F37" wp14:editId="5B33AE6C">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50AAB">
              <w:rPr>
                <w:color w:val="252525"/>
                <w:szCs w:val="24"/>
                <w:shd w:val="clear" w:color="auto" w:fill="FFFFFF"/>
              </w:rPr>
              <w:t xml:space="preserve"> is typically better than 1 microsecond. Note: Unlike GPS, Galileo or </w:t>
            </w:r>
            <w:proofErr w:type="spellStart"/>
            <w:r w:rsidRPr="00B50AAB">
              <w:rPr>
                <w:color w:val="252525"/>
                <w:szCs w:val="24"/>
                <w:shd w:val="clear" w:color="auto" w:fill="FFFFFF"/>
              </w:rPr>
              <w:t>BeiDou</w:t>
            </w:r>
            <w:proofErr w:type="spellEnd"/>
            <w:r w:rsidRPr="00B50AAB">
              <w:rPr>
                <w:color w:val="252525"/>
                <w:szCs w:val="24"/>
                <w:shd w:val="clear" w:color="auto" w:fill="FFFFFF"/>
              </w:rPr>
              <w:t>, GLONASS time scale implements leap seconds, like UTC.</w:t>
            </w:r>
          </w:p>
        </w:tc>
        <w:tc>
          <w:tcPr>
            <w:tcW w:w="1669" w:type="dxa"/>
          </w:tcPr>
          <w:p w14:paraId="4CA055E9" w14:textId="77777777" w:rsidR="00B50AAB" w:rsidRPr="00B50AAB" w:rsidRDefault="00B50AAB" w:rsidP="00B50AAB">
            <w:pPr>
              <w:widowControl w:val="0"/>
              <w:spacing w:before="0" w:line="240" w:lineRule="auto"/>
              <w:jc w:val="center"/>
              <w:rPr>
                <w:szCs w:val="24"/>
              </w:rPr>
            </w:pPr>
          </w:p>
        </w:tc>
        <w:tc>
          <w:tcPr>
            <w:tcW w:w="1473" w:type="dxa"/>
          </w:tcPr>
          <w:p w14:paraId="3E0CAA81" w14:textId="77777777" w:rsidR="00B50AAB" w:rsidRPr="00B50AAB" w:rsidRDefault="00B50AAB" w:rsidP="00B50AAB">
            <w:pPr>
              <w:widowControl w:val="0"/>
              <w:spacing w:before="0" w:line="240" w:lineRule="auto"/>
              <w:jc w:val="center"/>
              <w:rPr>
                <w:szCs w:val="24"/>
              </w:rPr>
            </w:pPr>
          </w:p>
        </w:tc>
      </w:tr>
      <w:tr w:rsidR="00B50AAB" w:rsidRPr="00B50AAB" w14:paraId="0163FB73" w14:textId="77777777" w:rsidTr="00AE1B9F">
        <w:tc>
          <w:tcPr>
            <w:tcW w:w="2054" w:type="dxa"/>
            <w:shd w:val="clear" w:color="auto" w:fill="auto"/>
            <w:tcMar>
              <w:top w:w="58" w:type="dxa"/>
              <w:bottom w:w="58" w:type="dxa"/>
            </w:tcMar>
          </w:tcPr>
          <w:p w14:paraId="23E0BDE9"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GPS</w:t>
            </w:r>
          </w:p>
        </w:tc>
        <w:tc>
          <w:tcPr>
            <w:tcW w:w="7754" w:type="dxa"/>
          </w:tcPr>
          <w:p w14:paraId="7FE2549B"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 xml:space="preserve">Global Positioning System Time (GPS) is the continuous time scale for all GPS operations. It is maintained to be within one microsecond of UTC (Modulo one second).  GPS time lags TAI by nineteen (19) seconds, i.e., GPS Time = TAI - 19 s.  </w:t>
            </w:r>
          </w:p>
        </w:tc>
        <w:tc>
          <w:tcPr>
            <w:tcW w:w="1669" w:type="dxa"/>
          </w:tcPr>
          <w:p w14:paraId="28D4AAA8" w14:textId="77777777" w:rsidR="00B50AAB" w:rsidRPr="00B50AAB" w:rsidRDefault="00B50AAB" w:rsidP="00B50AAB">
            <w:pPr>
              <w:widowControl w:val="0"/>
              <w:spacing w:before="0" w:line="240" w:lineRule="auto"/>
              <w:jc w:val="center"/>
              <w:rPr>
                <w:szCs w:val="24"/>
              </w:rPr>
            </w:pPr>
          </w:p>
        </w:tc>
        <w:tc>
          <w:tcPr>
            <w:tcW w:w="1473" w:type="dxa"/>
          </w:tcPr>
          <w:p w14:paraId="01A3BBB0" w14:textId="77777777" w:rsidR="00B50AAB" w:rsidRPr="00B50AAB" w:rsidRDefault="00B50AAB" w:rsidP="00B50AAB">
            <w:pPr>
              <w:widowControl w:val="0"/>
              <w:spacing w:before="0" w:line="240" w:lineRule="auto"/>
              <w:jc w:val="center"/>
              <w:rPr>
                <w:szCs w:val="24"/>
              </w:rPr>
            </w:pPr>
          </w:p>
        </w:tc>
      </w:tr>
      <w:tr w:rsidR="00B50AAB" w:rsidRPr="00B50AAB" w14:paraId="6A025D6C" w14:textId="77777777" w:rsidTr="00AE1B9F">
        <w:tc>
          <w:tcPr>
            <w:tcW w:w="2054" w:type="dxa"/>
            <w:shd w:val="clear" w:color="auto" w:fill="auto"/>
            <w:tcMar>
              <w:top w:w="58" w:type="dxa"/>
              <w:bottom w:w="58" w:type="dxa"/>
            </w:tcMar>
          </w:tcPr>
          <w:p w14:paraId="73B21A35"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GPSZ</w:t>
            </w:r>
          </w:p>
        </w:tc>
        <w:tc>
          <w:tcPr>
            <w:tcW w:w="7754" w:type="dxa"/>
          </w:tcPr>
          <w:p w14:paraId="12A447C5" w14:textId="0CC779B2" w:rsidR="00B50AAB" w:rsidRPr="00B50AAB" w:rsidRDefault="00B50AAB" w:rsidP="000D3B91">
            <w:pPr>
              <w:widowControl w:val="0"/>
              <w:spacing w:before="0" w:line="240" w:lineRule="auto"/>
              <w:rPr>
                <w:szCs w:val="24"/>
              </w:rPr>
            </w:pPr>
            <w:r w:rsidRPr="00B50AAB">
              <w:rPr>
                <w:szCs w:val="24"/>
              </w:rPr>
              <w:t>GPS time expressed as relative (elapsed) time since the GPS e</w:t>
            </w:r>
            <w:r w:rsidR="000D3B91">
              <w:rPr>
                <w:szCs w:val="24"/>
              </w:rPr>
              <w:t xml:space="preserve">poch of 6 January 1980 </w:t>
            </w:r>
            <w:r w:rsidR="00AB5AFD">
              <w:rPr>
                <w:szCs w:val="24"/>
              </w:rPr>
              <w:t>0000</w:t>
            </w:r>
            <w:r w:rsidRPr="00B50AAB">
              <w:rPr>
                <w:szCs w:val="24"/>
              </w:rPr>
              <w:t xml:space="preserve"> UTC. The elapsed time is presented in terms of Z counts (1.5 second increments) (578217609.333). In each satellite, an internally derived 1.5 second epoch provides a convenient unit for precisely counting and communicating time. Time stated in this manner is referred to as a Z-count. The Z-count is provided to the user as a 29-bit binary number consisting of two parts as follows: </w:t>
            </w:r>
          </w:p>
          <w:p w14:paraId="43621A12" w14:textId="77777777" w:rsidR="00B50AAB" w:rsidRPr="00B50AAB" w:rsidRDefault="00B50AAB" w:rsidP="000D3B91">
            <w:pPr>
              <w:widowControl w:val="0"/>
              <w:spacing w:before="0" w:line="240" w:lineRule="auto"/>
              <w:rPr>
                <w:szCs w:val="24"/>
              </w:rPr>
            </w:pPr>
            <w:r w:rsidRPr="00B50AAB">
              <w:rPr>
                <w:szCs w:val="24"/>
              </w:rPr>
              <w:t xml:space="preserve">a. The binary number represented by the 19 least significant bits of the Z-count is referred to as the time of week (TOW) count and is defined as being equal to the number of 1.5 second epochs that have occurred since the transition from the previous week. The count is </w:t>
            </w:r>
            <w:proofErr w:type="spellStart"/>
            <w:r w:rsidRPr="00B50AAB">
              <w:rPr>
                <w:szCs w:val="24"/>
              </w:rPr>
              <w:t>shortcycled</w:t>
            </w:r>
            <w:proofErr w:type="spellEnd"/>
            <w:r w:rsidRPr="00B50AAB">
              <w:rPr>
                <w:szCs w:val="24"/>
              </w:rPr>
              <w:t xml:space="preserve"> such that the range of the TOW-count is from 0 to 403,199 1.5 second epochs (equaling one week) and is reset to zero at the end of each week. The TOW-count's zero state is defined as that 1.5 second epoch which is coincident with the start of the present week. This epoch occurs at (approximately) midnight Saturday night-Sunday morning, where midnight is defined as 0000 hours on the Universal Coordinated Time (UTC) scale which is nominally referenced to the Greenwich Meridian. Over the years, the occurrence of the "zero state epoch" may differ by a few seconds from 0000 hours on the UTC scale, since UTC is periodically corrected with leap seconds while the TOW-count is continuous without such correction. A truncated version of the TOW-count, consisting of its 17 most significant bits, is contained in the hand-over word (HOW) of the L-Band downlink data </w:t>
            </w:r>
            <w:r w:rsidRPr="00B50AAB">
              <w:rPr>
                <w:szCs w:val="24"/>
              </w:rPr>
              <w:lastRenderedPageBreak/>
              <w:t xml:space="preserve">stream. </w:t>
            </w:r>
          </w:p>
          <w:p w14:paraId="258F05A6" w14:textId="77777777" w:rsidR="00B50AAB" w:rsidRPr="00B50AAB" w:rsidRDefault="00B50AAB" w:rsidP="000D3B91">
            <w:pPr>
              <w:widowControl w:val="0"/>
              <w:spacing w:before="0" w:line="240" w:lineRule="auto"/>
              <w:rPr>
                <w:szCs w:val="24"/>
              </w:rPr>
            </w:pPr>
            <w:r w:rsidRPr="00B50AAB">
              <w:rPr>
                <w:szCs w:val="24"/>
              </w:rPr>
              <w:t>b. The ten most significant bits of the Z-count are a binary representation of the sequential number assigned to the present GPS week (Modulo 1024). The range of this count is from 0 to 1023, with its zero state being defined as that week which starts with the 1.5 second epoch occurring at (approximately) midnight on the night of January 5, 1980/morning of January 6, 1980. At the expiration of GPS week number 1023, the GPS week number will rollover to zero (0). Users must account for the previous 1024 weeks in conversions from GPS time to a calendar date.</w:t>
            </w:r>
          </w:p>
          <w:p w14:paraId="7AD8745D" w14:textId="77777777" w:rsidR="00B50AAB" w:rsidRPr="00B50AAB" w:rsidRDefault="00B50AAB" w:rsidP="000D3B91">
            <w:pPr>
              <w:widowControl w:val="0"/>
              <w:tabs>
                <w:tab w:val="left" w:pos="576"/>
              </w:tabs>
              <w:spacing w:before="0" w:line="240" w:lineRule="auto"/>
              <w:ind w:left="-100" w:firstLine="4"/>
              <w:rPr>
                <w:szCs w:val="24"/>
              </w:rPr>
            </w:pPr>
          </w:p>
        </w:tc>
        <w:tc>
          <w:tcPr>
            <w:tcW w:w="1669" w:type="dxa"/>
          </w:tcPr>
          <w:p w14:paraId="5CF5036D" w14:textId="77777777" w:rsidR="00B50AAB" w:rsidRPr="00B50AAB" w:rsidRDefault="00B50AAB" w:rsidP="00B50AAB">
            <w:pPr>
              <w:widowControl w:val="0"/>
              <w:spacing w:before="0" w:line="240" w:lineRule="auto"/>
              <w:jc w:val="center"/>
              <w:rPr>
                <w:szCs w:val="24"/>
              </w:rPr>
            </w:pPr>
          </w:p>
        </w:tc>
        <w:tc>
          <w:tcPr>
            <w:tcW w:w="1473" w:type="dxa"/>
          </w:tcPr>
          <w:p w14:paraId="3E915F50" w14:textId="77777777" w:rsidR="00B50AAB" w:rsidRPr="00B50AAB" w:rsidRDefault="00B50AAB" w:rsidP="00B50AAB">
            <w:pPr>
              <w:widowControl w:val="0"/>
              <w:spacing w:before="0" w:line="240" w:lineRule="auto"/>
              <w:jc w:val="center"/>
              <w:rPr>
                <w:szCs w:val="24"/>
              </w:rPr>
            </w:pPr>
            <w:r w:rsidRPr="00B50AAB">
              <w:rPr>
                <w:szCs w:val="24"/>
              </w:rPr>
              <w:t>1.5s increments</w:t>
            </w:r>
          </w:p>
        </w:tc>
      </w:tr>
      <w:tr w:rsidR="00B50AAB" w:rsidRPr="00B50AAB" w14:paraId="48571C76" w14:textId="77777777" w:rsidTr="00AE1B9F">
        <w:tc>
          <w:tcPr>
            <w:tcW w:w="2054" w:type="dxa"/>
            <w:shd w:val="clear" w:color="auto" w:fill="auto"/>
            <w:tcMar>
              <w:top w:w="58" w:type="dxa"/>
              <w:bottom w:w="58" w:type="dxa"/>
            </w:tcMar>
          </w:tcPr>
          <w:p w14:paraId="77C6DE82"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NAVIC</w:t>
            </w:r>
          </w:p>
        </w:tc>
        <w:tc>
          <w:tcPr>
            <w:tcW w:w="7754" w:type="dxa"/>
          </w:tcPr>
          <w:p w14:paraId="23531F1C" w14:textId="77777777" w:rsidR="00B50AAB" w:rsidRPr="00B50AAB" w:rsidRDefault="00B50AAB" w:rsidP="00B50AAB">
            <w:pPr>
              <w:widowControl w:val="0"/>
              <w:tabs>
                <w:tab w:val="left" w:pos="576"/>
              </w:tabs>
              <w:spacing w:before="0" w:after="20" w:line="240" w:lineRule="auto"/>
              <w:ind w:left="-100" w:firstLine="4"/>
              <w:rPr>
                <w:szCs w:val="24"/>
              </w:rPr>
            </w:pPr>
            <w:r w:rsidRPr="00B50AAB">
              <w:rPr>
                <w:bCs/>
                <w:color w:val="222222"/>
                <w:szCs w:val="24"/>
                <w:shd w:val="clear" w:color="auto" w:fill="FFFFFF"/>
              </w:rPr>
              <w:t>NAVIC</w:t>
            </w:r>
            <w:r w:rsidRPr="00B50AAB">
              <w:rPr>
                <w:color w:val="222222"/>
                <w:szCs w:val="24"/>
                <w:shd w:val="clear" w:color="auto" w:fill="FFFFFF"/>
              </w:rPr>
              <w:t> (</w:t>
            </w:r>
            <w:r w:rsidRPr="00B50AAB">
              <w:rPr>
                <w:bCs/>
                <w:color w:val="222222"/>
                <w:szCs w:val="24"/>
                <w:shd w:val="clear" w:color="auto" w:fill="FFFFFF"/>
              </w:rPr>
              <w:t>Nav</w:t>
            </w:r>
            <w:r>
              <w:rPr>
                <w:color w:val="222222"/>
                <w:szCs w:val="24"/>
                <w:shd w:val="clear" w:color="auto" w:fill="FFFFFF"/>
              </w:rPr>
              <w:t xml:space="preserve">igation </w:t>
            </w:r>
            <w:r w:rsidRPr="00B50AAB">
              <w:rPr>
                <w:color w:val="222222"/>
                <w:szCs w:val="24"/>
                <w:shd w:val="clear" w:color="auto" w:fill="FFFFFF"/>
              </w:rPr>
              <w:t>with </w:t>
            </w:r>
            <w:r w:rsidRPr="00B50AAB">
              <w:rPr>
                <w:bCs/>
                <w:color w:val="222222"/>
                <w:szCs w:val="24"/>
                <w:shd w:val="clear" w:color="auto" w:fill="FFFFFF"/>
              </w:rPr>
              <w:t>I</w:t>
            </w:r>
            <w:r w:rsidRPr="00B50AAB">
              <w:rPr>
                <w:color w:val="222222"/>
                <w:szCs w:val="24"/>
                <w:shd w:val="clear" w:color="auto" w:fill="FFFFFF"/>
              </w:rPr>
              <w:t>ndian </w:t>
            </w:r>
            <w:r w:rsidRPr="00B50AAB">
              <w:rPr>
                <w:bCs/>
                <w:color w:val="222222"/>
                <w:szCs w:val="24"/>
                <w:shd w:val="clear" w:color="auto" w:fill="FFFFFF"/>
              </w:rPr>
              <w:t>C</w:t>
            </w:r>
            <w:r w:rsidRPr="00B50AAB">
              <w:rPr>
                <w:color w:val="222222"/>
                <w:szCs w:val="24"/>
                <w:shd w:val="clear" w:color="auto" w:fill="FFFFFF"/>
              </w:rPr>
              <w:t>onstellation) is an autonomous regional </w:t>
            </w:r>
            <w:hyperlink r:id="rId11" w:tooltip="Satellite navigation" w:history="1">
              <w:r w:rsidRPr="00B50AAB">
                <w:rPr>
                  <w:rStyle w:val="Hyperlink"/>
                  <w:color w:val="0B0080"/>
                  <w:szCs w:val="24"/>
                  <w:shd w:val="clear" w:color="auto" w:fill="FFFFFF"/>
                </w:rPr>
                <w:t>satellite navigation</w:t>
              </w:r>
            </w:hyperlink>
            <w:r w:rsidRPr="00B50AAB">
              <w:rPr>
                <w:color w:val="222222"/>
                <w:szCs w:val="24"/>
                <w:shd w:val="clear" w:color="auto" w:fill="FFFFFF"/>
              </w:rPr>
              <w:t xml:space="preserve"> system in the </w:t>
            </w:r>
            <w:r w:rsidRPr="00B50AAB">
              <w:rPr>
                <w:bCs/>
                <w:color w:val="222222"/>
                <w:szCs w:val="24"/>
                <w:shd w:val="clear" w:color="auto" w:fill="FFFFFF"/>
              </w:rPr>
              <w:t>Indian Regional Navigation Satellite System</w:t>
            </w:r>
            <w:r w:rsidRPr="00B50AAB">
              <w:rPr>
                <w:color w:val="222222"/>
                <w:szCs w:val="24"/>
                <w:shd w:val="clear" w:color="auto" w:fill="FFFFFF"/>
              </w:rPr>
              <w:t> (</w:t>
            </w:r>
            <w:r w:rsidRPr="00B50AAB">
              <w:rPr>
                <w:bCs/>
                <w:color w:val="222222"/>
                <w:szCs w:val="24"/>
                <w:shd w:val="clear" w:color="auto" w:fill="FFFFFF"/>
              </w:rPr>
              <w:t>IRNSS</w:t>
            </w:r>
            <w:r w:rsidRPr="00B50AAB">
              <w:rPr>
                <w:color w:val="222222"/>
                <w:szCs w:val="24"/>
                <w:shd w:val="clear" w:color="auto" w:fill="FFFFFF"/>
              </w:rPr>
              <w:t xml:space="preserve">) that will provide accurate real-time positioning and timing services. The system is expected to be fully operational in 2018. </w:t>
            </w:r>
          </w:p>
        </w:tc>
        <w:tc>
          <w:tcPr>
            <w:tcW w:w="1669" w:type="dxa"/>
          </w:tcPr>
          <w:p w14:paraId="46DD2EA4" w14:textId="77777777" w:rsidR="00B50AAB" w:rsidRPr="00B50AAB" w:rsidRDefault="00B50AAB" w:rsidP="00B50AAB">
            <w:pPr>
              <w:widowControl w:val="0"/>
              <w:spacing w:before="0" w:line="240" w:lineRule="auto"/>
              <w:jc w:val="center"/>
              <w:rPr>
                <w:szCs w:val="24"/>
              </w:rPr>
            </w:pPr>
          </w:p>
        </w:tc>
        <w:tc>
          <w:tcPr>
            <w:tcW w:w="1473" w:type="dxa"/>
          </w:tcPr>
          <w:p w14:paraId="2E532FA2" w14:textId="77777777" w:rsidR="00B50AAB" w:rsidRPr="00B50AAB" w:rsidRDefault="00B50AAB" w:rsidP="00B50AAB">
            <w:pPr>
              <w:widowControl w:val="0"/>
              <w:spacing w:before="0" w:line="240" w:lineRule="auto"/>
              <w:jc w:val="center"/>
              <w:rPr>
                <w:szCs w:val="24"/>
              </w:rPr>
            </w:pPr>
          </w:p>
        </w:tc>
      </w:tr>
      <w:tr w:rsidR="00B50AAB" w:rsidRPr="00B50AAB" w14:paraId="4785D542" w14:textId="77777777" w:rsidTr="00AE1B9F">
        <w:tc>
          <w:tcPr>
            <w:tcW w:w="2054" w:type="dxa"/>
            <w:shd w:val="clear" w:color="auto" w:fill="auto"/>
            <w:tcMar>
              <w:top w:w="58" w:type="dxa"/>
              <w:bottom w:w="58" w:type="dxa"/>
            </w:tcMar>
          </w:tcPr>
          <w:p w14:paraId="50EBC710"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SCLK</w:t>
            </w:r>
          </w:p>
        </w:tc>
        <w:tc>
          <w:tcPr>
            <w:tcW w:w="7754" w:type="dxa"/>
          </w:tcPr>
          <w:p w14:paraId="004095BF"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Spacecraft Clock (receiver) (requires rules for interpretation in ICD)</w:t>
            </w:r>
          </w:p>
        </w:tc>
        <w:tc>
          <w:tcPr>
            <w:tcW w:w="1669" w:type="dxa"/>
          </w:tcPr>
          <w:p w14:paraId="48BD6733" w14:textId="77777777" w:rsidR="00B50AAB" w:rsidRPr="00B50AAB" w:rsidRDefault="00B50AAB" w:rsidP="00B50AAB">
            <w:pPr>
              <w:widowControl w:val="0"/>
              <w:spacing w:before="0" w:line="240" w:lineRule="auto"/>
              <w:jc w:val="center"/>
              <w:rPr>
                <w:szCs w:val="24"/>
              </w:rPr>
            </w:pPr>
          </w:p>
        </w:tc>
        <w:tc>
          <w:tcPr>
            <w:tcW w:w="1473" w:type="dxa"/>
          </w:tcPr>
          <w:p w14:paraId="252CECD1" w14:textId="77777777" w:rsidR="00B50AAB" w:rsidRPr="00B50AAB" w:rsidRDefault="00B50AAB" w:rsidP="00B50AAB">
            <w:pPr>
              <w:widowControl w:val="0"/>
              <w:spacing w:before="0" w:line="240" w:lineRule="auto"/>
              <w:jc w:val="center"/>
              <w:rPr>
                <w:szCs w:val="24"/>
              </w:rPr>
            </w:pPr>
          </w:p>
        </w:tc>
      </w:tr>
      <w:tr w:rsidR="00B50AAB" w:rsidRPr="00B50AAB" w14:paraId="71938336" w14:textId="77777777" w:rsidTr="00AE1B9F">
        <w:tc>
          <w:tcPr>
            <w:tcW w:w="2054" w:type="dxa"/>
            <w:shd w:val="clear" w:color="auto" w:fill="auto"/>
            <w:tcMar>
              <w:top w:w="58" w:type="dxa"/>
              <w:bottom w:w="58" w:type="dxa"/>
            </w:tcMar>
          </w:tcPr>
          <w:p w14:paraId="74531BD1"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TAI</w:t>
            </w:r>
          </w:p>
        </w:tc>
        <w:tc>
          <w:tcPr>
            <w:tcW w:w="7754" w:type="dxa"/>
          </w:tcPr>
          <w:p w14:paraId="335F0EC6"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International Atomic Time (TAI) is the practical realization of a uniform time scale based on atomic clocks and agrees with TT, except for a constant offset of 32.184s and the imperfections of existing clocks.  The following relationships to other timescales are:  TAI = TT - 32.184s</w:t>
            </w:r>
          </w:p>
          <w:p w14:paraId="60C6807E" w14:textId="5BDBFC07" w:rsidR="00B50AAB" w:rsidRPr="00B50AAB" w:rsidRDefault="00B50AAB" w:rsidP="00B50AAB">
            <w:pPr>
              <w:widowControl w:val="0"/>
              <w:tabs>
                <w:tab w:val="left" w:pos="576"/>
              </w:tabs>
              <w:spacing w:before="0" w:after="20" w:line="240" w:lineRule="auto"/>
              <w:ind w:left="-100" w:firstLine="4"/>
              <w:rPr>
                <w:szCs w:val="24"/>
              </w:rPr>
            </w:pPr>
            <w:r w:rsidRPr="00B50AAB">
              <w:rPr>
                <w:szCs w:val="24"/>
              </w:rPr>
              <w:t xml:space="preserve">TAI = UTC + </w:t>
            </w:r>
            <w:r w:rsidR="00824C90">
              <w:rPr>
                <w:szCs w:val="24"/>
              </w:rPr>
              <w:t>#</w:t>
            </w:r>
            <w:proofErr w:type="spellStart"/>
            <w:r w:rsidR="00824C90">
              <w:rPr>
                <w:szCs w:val="24"/>
              </w:rPr>
              <w:t>leap_</w:t>
            </w:r>
            <w:r w:rsidR="00B936BB">
              <w:rPr>
                <w:szCs w:val="24"/>
              </w:rPr>
              <w:t>seconds</w:t>
            </w:r>
            <w:proofErr w:type="spellEnd"/>
          </w:p>
          <w:p w14:paraId="3A3C5550"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 xml:space="preserve">TAI provides a physical time scale affected by the Earth's gravitational and rotational </w:t>
            </w:r>
            <w:proofErr w:type="gramStart"/>
            <w:r w:rsidRPr="00B50AAB">
              <w:rPr>
                <w:szCs w:val="24"/>
              </w:rPr>
              <w:t>potential, and</w:t>
            </w:r>
            <w:proofErr w:type="gramEnd"/>
            <w:r w:rsidRPr="00B50AAB">
              <w:rPr>
                <w:szCs w:val="24"/>
              </w:rPr>
              <w:t xml:space="preserve"> deduced from a weighted average of various international frequency standards. Relative weighting is based on the historical stability of the individual standards. TAI is maintained by the Bureau International des </w:t>
            </w:r>
            <w:proofErr w:type="spellStart"/>
            <w:r w:rsidRPr="00B50AAB">
              <w:rPr>
                <w:szCs w:val="24"/>
              </w:rPr>
              <w:t>Poids</w:t>
            </w:r>
            <w:proofErr w:type="spellEnd"/>
            <w:r w:rsidRPr="00B50AAB">
              <w:rPr>
                <w:szCs w:val="24"/>
              </w:rPr>
              <w:t xml:space="preserve"> et </w:t>
            </w:r>
            <w:proofErr w:type="spellStart"/>
            <w:r w:rsidRPr="00B50AAB">
              <w:rPr>
                <w:szCs w:val="24"/>
              </w:rPr>
              <w:t>Mesures</w:t>
            </w:r>
            <w:proofErr w:type="spellEnd"/>
            <w:r w:rsidRPr="00B50AAB">
              <w:rPr>
                <w:szCs w:val="24"/>
              </w:rPr>
              <w:t xml:space="preserve"> (BIPM) and is the basis of other time scales.</w:t>
            </w:r>
          </w:p>
        </w:tc>
        <w:tc>
          <w:tcPr>
            <w:tcW w:w="1669" w:type="dxa"/>
          </w:tcPr>
          <w:p w14:paraId="37A1BB59" w14:textId="77777777" w:rsidR="00B50AAB" w:rsidRPr="00B50AAB" w:rsidRDefault="00B50AAB" w:rsidP="00B50AAB">
            <w:pPr>
              <w:widowControl w:val="0"/>
              <w:spacing w:before="0" w:line="240" w:lineRule="auto"/>
              <w:jc w:val="center"/>
              <w:rPr>
                <w:szCs w:val="24"/>
              </w:rPr>
            </w:pPr>
          </w:p>
        </w:tc>
        <w:tc>
          <w:tcPr>
            <w:tcW w:w="1473" w:type="dxa"/>
          </w:tcPr>
          <w:p w14:paraId="529D24A4" w14:textId="77777777" w:rsidR="00B50AAB" w:rsidRPr="00B50AAB" w:rsidRDefault="00B50AAB" w:rsidP="00B50AAB">
            <w:pPr>
              <w:widowControl w:val="0"/>
              <w:spacing w:before="0" w:line="240" w:lineRule="auto"/>
              <w:jc w:val="center"/>
              <w:rPr>
                <w:szCs w:val="24"/>
              </w:rPr>
            </w:pPr>
          </w:p>
        </w:tc>
      </w:tr>
      <w:tr w:rsidR="00B50AAB" w:rsidRPr="00B50AAB" w14:paraId="47DE3F39" w14:textId="77777777" w:rsidTr="00AE1B9F">
        <w:tc>
          <w:tcPr>
            <w:tcW w:w="2054" w:type="dxa"/>
            <w:shd w:val="clear" w:color="auto" w:fill="auto"/>
            <w:tcMar>
              <w:top w:w="58" w:type="dxa"/>
              <w:bottom w:w="58" w:type="dxa"/>
            </w:tcMar>
          </w:tcPr>
          <w:p w14:paraId="431DB470"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 xml:space="preserve">TCB </w:t>
            </w:r>
          </w:p>
        </w:tc>
        <w:tc>
          <w:tcPr>
            <w:tcW w:w="7754" w:type="dxa"/>
          </w:tcPr>
          <w:p w14:paraId="65A01669" w14:textId="21607A67" w:rsidR="00B50AAB" w:rsidRPr="00B50AAB" w:rsidRDefault="00B50AAB" w:rsidP="00B50AAB">
            <w:pPr>
              <w:widowControl w:val="0"/>
              <w:tabs>
                <w:tab w:val="left" w:pos="576"/>
              </w:tabs>
              <w:spacing w:before="0" w:after="20" w:line="240" w:lineRule="auto"/>
              <w:ind w:left="-100" w:firstLine="4"/>
              <w:rPr>
                <w:szCs w:val="24"/>
              </w:rPr>
            </w:pPr>
            <w:r w:rsidRPr="00B50AAB">
              <w:rPr>
                <w:szCs w:val="24"/>
              </w:rPr>
              <w:t xml:space="preserve">Barycentric Coordinate Time (TCB), where TCB is related to TT through a complex sequence of relativistic transformations.  TCB - TDB  </w:t>
            </w:r>
            <w:r w:rsidRPr="00B50AAB">
              <w:rPr>
                <w:szCs w:val="24"/>
              </w:rPr>
              <w:sym w:font="Symbol" w:char="F0BB"/>
            </w:r>
            <w:r w:rsidRPr="00B50AAB">
              <w:rPr>
                <w:szCs w:val="24"/>
              </w:rPr>
              <w:t xml:space="preserve">  0.489</w:t>
            </w:r>
            <w:r w:rsidR="00824C90">
              <w:rPr>
                <w:szCs w:val="24"/>
              </w:rPr>
              <w:t xml:space="preserve"> </w:t>
            </w:r>
            <w:r w:rsidRPr="00B50AAB">
              <w:rPr>
                <w:szCs w:val="24"/>
              </w:rPr>
              <w:t>seconds/year * (year-1977.0)   Note: TCB is intended to be the time scale for ephemerides in the solar system.</w:t>
            </w:r>
          </w:p>
        </w:tc>
        <w:tc>
          <w:tcPr>
            <w:tcW w:w="1669" w:type="dxa"/>
          </w:tcPr>
          <w:p w14:paraId="49889F4C" w14:textId="77777777" w:rsidR="00B50AAB" w:rsidRPr="00B50AAB" w:rsidRDefault="00B50AAB" w:rsidP="00B50AAB">
            <w:pPr>
              <w:widowControl w:val="0"/>
              <w:spacing w:before="0" w:line="240" w:lineRule="auto"/>
              <w:jc w:val="center"/>
              <w:rPr>
                <w:szCs w:val="24"/>
              </w:rPr>
            </w:pPr>
          </w:p>
        </w:tc>
        <w:tc>
          <w:tcPr>
            <w:tcW w:w="1473" w:type="dxa"/>
          </w:tcPr>
          <w:p w14:paraId="195408B1" w14:textId="77777777" w:rsidR="00B50AAB" w:rsidRPr="00B50AAB" w:rsidRDefault="00B50AAB" w:rsidP="00B50AAB">
            <w:pPr>
              <w:widowControl w:val="0"/>
              <w:spacing w:before="0" w:line="240" w:lineRule="auto"/>
              <w:jc w:val="center"/>
              <w:rPr>
                <w:szCs w:val="24"/>
              </w:rPr>
            </w:pPr>
          </w:p>
        </w:tc>
      </w:tr>
      <w:tr w:rsidR="00B50AAB" w:rsidRPr="00B50AAB" w14:paraId="280E1478" w14:textId="77777777" w:rsidTr="00AE1B9F">
        <w:tc>
          <w:tcPr>
            <w:tcW w:w="2054" w:type="dxa"/>
            <w:shd w:val="clear" w:color="auto" w:fill="auto"/>
            <w:tcMar>
              <w:top w:w="58" w:type="dxa"/>
              <w:bottom w:w="58" w:type="dxa"/>
            </w:tcMar>
          </w:tcPr>
          <w:p w14:paraId="342C4E24"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TCG</w:t>
            </w:r>
            <w:r w:rsidRPr="00AE1B9F">
              <w:rPr>
                <w:szCs w:val="24"/>
              </w:rPr>
              <w:tab/>
            </w:r>
          </w:p>
        </w:tc>
        <w:tc>
          <w:tcPr>
            <w:tcW w:w="7754" w:type="dxa"/>
          </w:tcPr>
          <w:p w14:paraId="22BE8C27"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 xml:space="preserve">Geocentric Coordinate Time </w:t>
            </w:r>
            <w:r w:rsidRPr="00B50AAB">
              <w:rPr>
                <w:color w:val="222222"/>
                <w:szCs w:val="24"/>
                <w:shd w:val="clear" w:color="auto" w:fill="FFFFFF"/>
              </w:rPr>
              <w:t>is defined in the context of the </w:t>
            </w:r>
            <w:hyperlink r:id="rId12" w:tooltip="General relativity" w:history="1">
              <w:r w:rsidRPr="00B50AAB">
                <w:rPr>
                  <w:rStyle w:val="Hyperlink"/>
                  <w:color w:val="0B0080"/>
                  <w:szCs w:val="24"/>
                  <w:shd w:val="clear" w:color="auto" w:fill="FFFFFF"/>
                </w:rPr>
                <w:t xml:space="preserve">general theory of </w:t>
              </w:r>
              <w:r w:rsidRPr="00B50AAB">
                <w:rPr>
                  <w:rStyle w:val="Hyperlink"/>
                  <w:color w:val="0B0080"/>
                  <w:szCs w:val="24"/>
                  <w:shd w:val="clear" w:color="auto" w:fill="FFFFFF"/>
                </w:rPr>
                <w:lastRenderedPageBreak/>
                <w:t>relativity</w:t>
              </w:r>
            </w:hyperlink>
            <w:r w:rsidRPr="00B50AAB">
              <w:rPr>
                <w:szCs w:val="24"/>
              </w:rPr>
              <w:t>. It is defined by a 1991 IAU resolution.</w:t>
            </w:r>
          </w:p>
        </w:tc>
        <w:tc>
          <w:tcPr>
            <w:tcW w:w="1669" w:type="dxa"/>
          </w:tcPr>
          <w:p w14:paraId="03137C2E" w14:textId="77777777" w:rsidR="00B50AAB" w:rsidRPr="00B50AAB" w:rsidRDefault="00B50AAB" w:rsidP="00B50AAB">
            <w:pPr>
              <w:widowControl w:val="0"/>
              <w:spacing w:before="0" w:line="240" w:lineRule="auto"/>
              <w:jc w:val="center"/>
              <w:rPr>
                <w:szCs w:val="24"/>
              </w:rPr>
            </w:pPr>
          </w:p>
        </w:tc>
        <w:tc>
          <w:tcPr>
            <w:tcW w:w="1473" w:type="dxa"/>
          </w:tcPr>
          <w:p w14:paraId="1D8F932E" w14:textId="77777777" w:rsidR="00B50AAB" w:rsidRPr="00B50AAB" w:rsidRDefault="00B50AAB" w:rsidP="00B50AAB">
            <w:pPr>
              <w:widowControl w:val="0"/>
              <w:spacing w:before="0" w:line="240" w:lineRule="auto"/>
              <w:jc w:val="center"/>
              <w:rPr>
                <w:szCs w:val="24"/>
              </w:rPr>
            </w:pPr>
          </w:p>
        </w:tc>
      </w:tr>
      <w:tr w:rsidR="00B50AAB" w:rsidRPr="00B50AAB" w14:paraId="20ACF428" w14:textId="77777777" w:rsidTr="00AE1B9F">
        <w:tc>
          <w:tcPr>
            <w:tcW w:w="2054" w:type="dxa"/>
            <w:shd w:val="clear" w:color="auto" w:fill="auto"/>
            <w:tcMar>
              <w:top w:w="58" w:type="dxa"/>
              <w:bottom w:w="58" w:type="dxa"/>
            </w:tcMar>
          </w:tcPr>
          <w:p w14:paraId="3F341862"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TDB</w:t>
            </w:r>
          </w:p>
        </w:tc>
        <w:tc>
          <w:tcPr>
            <w:tcW w:w="7754" w:type="dxa"/>
          </w:tcPr>
          <w:p w14:paraId="4C984ACE"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Barycentric Dynamical Time (TDB) is intended to serve as the independent argument of Barycentric ephemerides and equations of motion. It is defined as being linearly related to Barycentric Coordinate Time (TCB) The linear relationship between TDB and TCB is chosen such that the rate of TDB closely matches TT for the time span covered by the JPL Development Ephemerides. TDB is sometimes designated as Barycentric Ephemeris Time (</w:t>
            </w:r>
            <w:proofErr w:type="spellStart"/>
            <w:r w:rsidRPr="00B50AAB">
              <w:rPr>
                <w:szCs w:val="24"/>
              </w:rPr>
              <w:t>Teph</w:t>
            </w:r>
            <w:proofErr w:type="spellEnd"/>
            <w:r w:rsidRPr="00B50AAB">
              <w:rPr>
                <w:szCs w:val="24"/>
              </w:rPr>
              <w:t>) when used as the time scale of the JPL ephemerides.</w:t>
            </w:r>
          </w:p>
        </w:tc>
        <w:tc>
          <w:tcPr>
            <w:tcW w:w="1669" w:type="dxa"/>
          </w:tcPr>
          <w:p w14:paraId="097AAD8F" w14:textId="77777777" w:rsidR="00B50AAB" w:rsidRPr="00B50AAB" w:rsidRDefault="00B50AAB" w:rsidP="00B50AAB">
            <w:pPr>
              <w:widowControl w:val="0"/>
              <w:spacing w:before="0" w:line="240" w:lineRule="auto"/>
              <w:jc w:val="center"/>
              <w:rPr>
                <w:szCs w:val="24"/>
              </w:rPr>
            </w:pPr>
          </w:p>
        </w:tc>
        <w:tc>
          <w:tcPr>
            <w:tcW w:w="1473" w:type="dxa"/>
          </w:tcPr>
          <w:p w14:paraId="42610FEE" w14:textId="77777777" w:rsidR="00B50AAB" w:rsidRPr="00B50AAB" w:rsidRDefault="00B50AAB" w:rsidP="00B50AAB">
            <w:pPr>
              <w:widowControl w:val="0"/>
              <w:spacing w:before="0" w:line="240" w:lineRule="auto"/>
              <w:jc w:val="center"/>
              <w:rPr>
                <w:szCs w:val="24"/>
              </w:rPr>
            </w:pPr>
          </w:p>
        </w:tc>
      </w:tr>
      <w:tr w:rsidR="00B50AAB" w:rsidRPr="00B50AAB" w14:paraId="65A87938" w14:textId="77777777" w:rsidTr="00AE1B9F">
        <w:tc>
          <w:tcPr>
            <w:tcW w:w="2054" w:type="dxa"/>
            <w:shd w:val="clear" w:color="auto" w:fill="auto"/>
            <w:tcMar>
              <w:top w:w="58" w:type="dxa"/>
              <w:bottom w:w="58" w:type="dxa"/>
            </w:tcMar>
          </w:tcPr>
          <w:p w14:paraId="261F5C14"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TT</w:t>
            </w:r>
          </w:p>
        </w:tc>
        <w:tc>
          <w:tcPr>
            <w:tcW w:w="7754" w:type="dxa"/>
          </w:tcPr>
          <w:p w14:paraId="1C1C31ED"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Terrestrial Time (TT) is a theoretically ideal time at the Earth geoid. A practical realization is TT = TAI + 32.184 s. TT has also been known as Terrestrial Dynamical Time (TDT) when considered as a coordinate time for geocentric orbits. TT is the successor of pre-relativistic Ephemeris Time (ET).</w:t>
            </w:r>
          </w:p>
        </w:tc>
        <w:tc>
          <w:tcPr>
            <w:tcW w:w="1669" w:type="dxa"/>
          </w:tcPr>
          <w:p w14:paraId="00B40F98" w14:textId="77777777" w:rsidR="00B50AAB" w:rsidRPr="00B50AAB" w:rsidRDefault="00B50AAB" w:rsidP="00B50AAB">
            <w:pPr>
              <w:widowControl w:val="0"/>
              <w:spacing w:before="0" w:line="240" w:lineRule="auto"/>
              <w:jc w:val="center"/>
              <w:rPr>
                <w:szCs w:val="24"/>
              </w:rPr>
            </w:pPr>
          </w:p>
        </w:tc>
        <w:tc>
          <w:tcPr>
            <w:tcW w:w="1473" w:type="dxa"/>
          </w:tcPr>
          <w:p w14:paraId="16C6DA11" w14:textId="77777777" w:rsidR="00B50AAB" w:rsidRPr="00B50AAB" w:rsidRDefault="00B50AAB" w:rsidP="00B50AAB">
            <w:pPr>
              <w:widowControl w:val="0"/>
              <w:spacing w:before="0" w:line="240" w:lineRule="auto"/>
              <w:jc w:val="center"/>
              <w:rPr>
                <w:szCs w:val="24"/>
              </w:rPr>
            </w:pPr>
          </w:p>
        </w:tc>
      </w:tr>
      <w:tr w:rsidR="00B50AAB" w:rsidRPr="00B50AAB" w14:paraId="1FB58168" w14:textId="77777777" w:rsidTr="00AE1B9F">
        <w:tc>
          <w:tcPr>
            <w:tcW w:w="2054" w:type="dxa"/>
            <w:shd w:val="clear" w:color="auto" w:fill="auto"/>
            <w:tcMar>
              <w:top w:w="58" w:type="dxa"/>
              <w:bottom w:w="58" w:type="dxa"/>
            </w:tcMar>
          </w:tcPr>
          <w:p w14:paraId="0B3F43C8"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UT1</w:t>
            </w:r>
          </w:p>
        </w:tc>
        <w:tc>
          <w:tcPr>
            <w:tcW w:w="7754" w:type="dxa"/>
          </w:tcPr>
          <w:p w14:paraId="15181724"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 xml:space="preserve">Universal Time (UT1) is the angular measure of Earth rotation inferred from observations. UT1 is the Earth-rotation angle determined by VLBI of selected radio point sources and interpolated by tracking of GPS satellites.  UT1 provides a sequentially increasing continuum that is everlasting and widely </w:t>
            </w:r>
            <w:proofErr w:type="gramStart"/>
            <w:r w:rsidRPr="00B50AAB">
              <w:rPr>
                <w:szCs w:val="24"/>
              </w:rPr>
              <w:t>apparent, and</w:t>
            </w:r>
            <w:proofErr w:type="gramEnd"/>
            <w:r w:rsidRPr="00B50AAB">
              <w:rPr>
                <w:szCs w:val="24"/>
              </w:rPr>
              <w:t xml:space="preserve"> serves as the astronomical basis of civil time of day. The angular rate of modern-day UT1 has been defined to closely follow Newcomb's convention for mean solar time, based on the mean motion of the Sun reduced from 19th-century observations.</w:t>
            </w:r>
          </w:p>
        </w:tc>
        <w:tc>
          <w:tcPr>
            <w:tcW w:w="1669" w:type="dxa"/>
          </w:tcPr>
          <w:p w14:paraId="583C7E7E" w14:textId="77777777" w:rsidR="00B50AAB" w:rsidRPr="00B50AAB" w:rsidRDefault="00B50AAB" w:rsidP="00B50AAB">
            <w:pPr>
              <w:widowControl w:val="0"/>
              <w:spacing w:before="0" w:line="240" w:lineRule="auto"/>
              <w:jc w:val="center"/>
              <w:rPr>
                <w:szCs w:val="24"/>
              </w:rPr>
            </w:pPr>
          </w:p>
        </w:tc>
        <w:tc>
          <w:tcPr>
            <w:tcW w:w="1473" w:type="dxa"/>
          </w:tcPr>
          <w:p w14:paraId="23CD8D61" w14:textId="77777777" w:rsidR="00B50AAB" w:rsidRPr="00B50AAB" w:rsidRDefault="00B50AAB" w:rsidP="00B50AAB">
            <w:pPr>
              <w:widowControl w:val="0"/>
              <w:spacing w:before="0" w:line="240" w:lineRule="auto"/>
              <w:jc w:val="center"/>
              <w:rPr>
                <w:szCs w:val="24"/>
              </w:rPr>
            </w:pPr>
          </w:p>
        </w:tc>
      </w:tr>
      <w:tr w:rsidR="00B50AAB" w:rsidRPr="00B50AAB" w14:paraId="127F18D5" w14:textId="77777777" w:rsidTr="00AE1B9F">
        <w:tc>
          <w:tcPr>
            <w:tcW w:w="2054" w:type="dxa"/>
            <w:shd w:val="clear" w:color="auto" w:fill="auto"/>
            <w:tcMar>
              <w:top w:w="58" w:type="dxa"/>
              <w:bottom w:w="58" w:type="dxa"/>
            </w:tcMar>
          </w:tcPr>
          <w:p w14:paraId="11322AFB" w14:textId="77777777" w:rsidR="00B50AAB" w:rsidRPr="00AE1B9F" w:rsidRDefault="00B50AAB" w:rsidP="00B50AAB">
            <w:pPr>
              <w:widowControl w:val="0"/>
              <w:tabs>
                <w:tab w:val="left" w:pos="576"/>
                <w:tab w:val="left" w:pos="711"/>
              </w:tabs>
              <w:spacing w:before="0" w:after="20" w:line="240" w:lineRule="auto"/>
              <w:ind w:left="706" w:hanging="706"/>
              <w:rPr>
                <w:szCs w:val="24"/>
              </w:rPr>
            </w:pPr>
            <w:r w:rsidRPr="00AE1B9F">
              <w:rPr>
                <w:szCs w:val="24"/>
              </w:rPr>
              <w:t>UTC</w:t>
            </w:r>
          </w:p>
        </w:tc>
        <w:tc>
          <w:tcPr>
            <w:tcW w:w="7754" w:type="dxa"/>
          </w:tcPr>
          <w:p w14:paraId="4CA79B80" w14:textId="77777777" w:rsidR="00B50AAB" w:rsidRPr="00B50AAB" w:rsidRDefault="00B50AAB" w:rsidP="00B50AAB">
            <w:pPr>
              <w:widowControl w:val="0"/>
              <w:tabs>
                <w:tab w:val="left" w:pos="576"/>
              </w:tabs>
              <w:spacing w:before="0" w:after="20" w:line="240" w:lineRule="auto"/>
              <w:ind w:left="-100" w:firstLine="4"/>
              <w:rPr>
                <w:szCs w:val="24"/>
              </w:rPr>
            </w:pPr>
            <w:r w:rsidRPr="00B50AAB">
              <w:rPr>
                <w:szCs w:val="24"/>
              </w:rPr>
              <w:t xml:space="preserve">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w:t>
            </w:r>
            <w:proofErr w:type="gramStart"/>
            <w:r w:rsidRPr="00B50AAB">
              <w:rPr>
                <w:szCs w:val="24"/>
              </w:rPr>
              <w:t>seconds, and</w:t>
            </w:r>
            <w:proofErr w:type="gramEnd"/>
            <w:r w:rsidRPr="00B50AAB">
              <w:rPr>
                <w:szCs w:val="24"/>
              </w:rPr>
              <w:t xml:space="preserve"> is thus a carrier of precision frequency and time interval for broadcast standards based on the SI second.  Note: Zulu time is synonymous with UTC.</w:t>
            </w:r>
          </w:p>
        </w:tc>
        <w:tc>
          <w:tcPr>
            <w:tcW w:w="1669" w:type="dxa"/>
          </w:tcPr>
          <w:p w14:paraId="55055FCE" w14:textId="77777777" w:rsidR="00B50AAB" w:rsidRPr="00B50AAB" w:rsidRDefault="00B50AAB" w:rsidP="00B50AAB">
            <w:pPr>
              <w:widowControl w:val="0"/>
              <w:spacing w:before="0" w:line="240" w:lineRule="auto"/>
              <w:jc w:val="center"/>
              <w:rPr>
                <w:szCs w:val="24"/>
              </w:rPr>
            </w:pPr>
          </w:p>
        </w:tc>
        <w:tc>
          <w:tcPr>
            <w:tcW w:w="1473" w:type="dxa"/>
          </w:tcPr>
          <w:p w14:paraId="4A3947AA" w14:textId="77777777" w:rsidR="00B50AAB" w:rsidRPr="00B50AAB" w:rsidRDefault="00B50AAB" w:rsidP="00B50AAB">
            <w:pPr>
              <w:widowControl w:val="0"/>
              <w:spacing w:before="0" w:line="240" w:lineRule="auto"/>
              <w:jc w:val="center"/>
              <w:rPr>
                <w:szCs w:val="24"/>
              </w:rPr>
            </w:pPr>
          </w:p>
        </w:tc>
      </w:tr>
    </w:tbl>
    <w:p w14:paraId="6A094DF8" w14:textId="77777777" w:rsidR="00047223" w:rsidRPr="00B50AAB" w:rsidRDefault="00047223" w:rsidP="00047223">
      <w:pPr>
        <w:rPr>
          <w:szCs w:val="24"/>
          <w:lang w:eastAsia="x-none"/>
        </w:rPr>
      </w:pPr>
    </w:p>
    <w:sectPr w:rsidR="00047223" w:rsidRPr="00B50AAB" w:rsidSect="00BB0A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4D5"/>
    <w:multiLevelType w:val="hybridMultilevel"/>
    <w:tmpl w:val="6A3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D7218"/>
    <w:multiLevelType w:val="multilevel"/>
    <w:tmpl w:val="C8F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5F"/>
    <w:rsid w:val="000219A4"/>
    <w:rsid w:val="00025C67"/>
    <w:rsid w:val="00047223"/>
    <w:rsid w:val="0008687F"/>
    <w:rsid w:val="000A148F"/>
    <w:rsid w:val="000B4797"/>
    <w:rsid w:val="000D3B91"/>
    <w:rsid w:val="000D423E"/>
    <w:rsid w:val="000E0C08"/>
    <w:rsid w:val="00116EE2"/>
    <w:rsid w:val="00137214"/>
    <w:rsid w:val="001566A6"/>
    <w:rsid w:val="001576C8"/>
    <w:rsid w:val="00194311"/>
    <w:rsid w:val="001F1950"/>
    <w:rsid w:val="00244649"/>
    <w:rsid w:val="002638AD"/>
    <w:rsid w:val="002742D9"/>
    <w:rsid w:val="00276D57"/>
    <w:rsid w:val="002B21D2"/>
    <w:rsid w:val="002B56D6"/>
    <w:rsid w:val="002C3FD5"/>
    <w:rsid w:val="002D4396"/>
    <w:rsid w:val="00307315"/>
    <w:rsid w:val="00332609"/>
    <w:rsid w:val="003351E4"/>
    <w:rsid w:val="0035337E"/>
    <w:rsid w:val="00395C3B"/>
    <w:rsid w:val="003B242D"/>
    <w:rsid w:val="003B6752"/>
    <w:rsid w:val="003F204F"/>
    <w:rsid w:val="00404CEA"/>
    <w:rsid w:val="00407D2A"/>
    <w:rsid w:val="0043180D"/>
    <w:rsid w:val="00431B47"/>
    <w:rsid w:val="00453EDC"/>
    <w:rsid w:val="004760EF"/>
    <w:rsid w:val="00487E85"/>
    <w:rsid w:val="004B004B"/>
    <w:rsid w:val="004F4108"/>
    <w:rsid w:val="00514682"/>
    <w:rsid w:val="005176A4"/>
    <w:rsid w:val="00564C27"/>
    <w:rsid w:val="0058498A"/>
    <w:rsid w:val="00587B07"/>
    <w:rsid w:val="0059270F"/>
    <w:rsid w:val="005A7D4E"/>
    <w:rsid w:val="005C3DF4"/>
    <w:rsid w:val="005E7B81"/>
    <w:rsid w:val="005F15D6"/>
    <w:rsid w:val="005F4E1F"/>
    <w:rsid w:val="00603958"/>
    <w:rsid w:val="00613CA7"/>
    <w:rsid w:val="00625498"/>
    <w:rsid w:val="0066177B"/>
    <w:rsid w:val="0069038E"/>
    <w:rsid w:val="006B3DA9"/>
    <w:rsid w:val="006B7104"/>
    <w:rsid w:val="006D44AD"/>
    <w:rsid w:val="006E067A"/>
    <w:rsid w:val="006E5023"/>
    <w:rsid w:val="006F47F7"/>
    <w:rsid w:val="0072178D"/>
    <w:rsid w:val="00730700"/>
    <w:rsid w:val="00764AB4"/>
    <w:rsid w:val="007651E5"/>
    <w:rsid w:val="007659FF"/>
    <w:rsid w:val="00765DCB"/>
    <w:rsid w:val="0076730D"/>
    <w:rsid w:val="00774343"/>
    <w:rsid w:val="00794D46"/>
    <w:rsid w:val="007C03AA"/>
    <w:rsid w:val="007C4DD6"/>
    <w:rsid w:val="007D2F4E"/>
    <w:rsid w:val="00824C90"/>
    <w:rsid w:val="008334CB"/>
    <w:rsid w:val="0083596D"/>
    <w:rsid w:val="00862398"/>
    <w:rsid w:val="008E27D4"/>
    <w:rsid w:val="00917E23"/>
    <w:rsid w:val="00924755"/>
    <w:rsid w:val="00932582"/>
    <w:rsid w:val="009662B7"/>
    <w:rsid w:val="009865BD"/>
    <w:rsid w:val="009C0084"/>
    <w:rsid w:val="009F2553"/>
    <w:rsid w:val="00A00998"/>
    <w:rsid w:val="00A05BA1"/>
    <w:rsid w:val="00A1731A"/>
    <w:rsid w:val="00A32364"/>
    <w:rsid w:val="00A40E6B"/>
    <w:rsid w:val="00A57A05"/>
    <w:rsid w:val="00A61000"/>
    <w:rsid w:val="00A63A1B"/>
    <w:rsid w:val="00A94B0F"/>
    <w:rsid w:val="00AA7176"/>
    <w:rsid w:val="00AB5AFD"/>
    <w:rsid w:val="00AE1B9F"/>
    <w:rsid w:val="00AF2236"/>
    <w:rsid w:val="00B0495F"/>
    <w:rsid w:val="00B04DBC"/>
    <w:rsid w:val="00B322B1"/>
    <w:rsid w:val="00B50AAB"/>
    <w:rsid w:val="00B717FC"/>
    <w:rsid w:val="00B833D5"/>
    <w:rsid w:val="00B8797C"/>
    <w:rsid w:val="00B93101"/>
    <w:rsid w:val="00B936BB"/>
    <w:rsid w:val="00BB0A33"/>
    <w:rsid w:val="00BC203C"/>
    <w:rsid w:val="00BD2069"/>
    <w:rsid w:val="00BF7E52"/>
    <w:rsid w:val="00C2294B"/>
    <w:rsid w:val="00C63B99"/>
    <w:rsid w:val="00C8755D"/>
    <w:rsid w:val="00C9193F"/>
    <w:rsid w:val="00CC7695"/>
    <w:rsid w:val="00D02135"/>
    <w:rsid w:val="00D136DB"/>
    <w:rsid w:val="00D55363"/>
    <w:rsid w:val="00D77D15"/>
    <w:rsid w:val="00D81C65"/>
    <w:rsid w:val="00D83D31"/>
    <w:rsid w:val="00D970BE"/>
    <w:rsid w:val="00DB3263"/>
    <w:rsid w:val="00DD2532"/>
    <w:rsid w:val="00DD4400"/>
    <w:rsid w:val="00E176E8"/>
    <w:rsid w:val="00E3701B"/>
    <w:rsid w:val="00E57D45"/>
    <w:rsid w:val="00EB3E4A"/>
    <w:rsid w:val="00EF51C4"/>
    <w:rsid w:val="00EF7592"/>
    <w:rsid w:val="00F12211"/>
    <w:rsid w:val="00F52F2D"/>
    <w:rsid w:val="00F658F7"/>
    <w:rsid w:val="00F9106D"/>
    <w:rsid w:val="00F929A0"/>
    <w:rsid w:val="00F94349"/>
    <w:rsid w:val="00FA4543"/>
    <w:rsid w:val="00FB4E2D"/>
    <w:rsid w:val="00FB79C8"/>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79CFE70F-48C8-48CB-B56E-3E1773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 w:type="paragraph" w:styleId="ListParagraph">
    <w:name w:val="List Paragraph"/>
    <w:basedOn w:val="Normal"/>
    <w:uiPriority w:val="34"/>
    <w:qFormat/>
    <w:rsid w:val="005F4E1F"/>
    <w:pPr>
      <w:ind w:left="720"/>
      <w:contextualSpacing/>
    </w:pPr>
  </w:style>
  <w:style w:type="paragraph" w:customStyle="1" w:styleId="HeadingRunIn">
    <w:name w:val="HeadingRunIn"/>
    <w:basedOn w:val="Normal"/>
    <w:rsid w:val="0059270F"/>
    <w:pPr>
      <w:keepNext/>
      <w:autoSpaceDE w:val="0"/>
      <w:autoSpaceDN w:val="0"/>
      <w:spacing w:before="120"/>
      <w:jc w:val="left"/>
    </w:pPr>
    <w:rPr>
      <w:rFonts w:eastAsiaTheme="minorHAnsi"/>
      <w:b/>
      <w:bCs/>
      <w:color w:val="000000"/>
      <w:szCs w:val="24"/>
    </w:rPr>
  </w:style>
  <w:style w:type="character" w:styleId="FollowedHyperlink">
    <w:name w:val="FollowedHyperlink"/>
    <w:basedOn w:val="DefaultParagraphFont"/>
    <w:uiPriority w:val="99"/>
    <w:semiHidden/>
    <w:unhideWhenUsed/>
    <w:rsid w:val="00B50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770122758">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597322869">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1748915991">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Pubs/504x0b1c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lic.ccsds.org/Pubs/503x0b1c1.pdf" TargetMode="External"/><Relationship Id="rId12" Type="http://schemas.openxmlformats.org/officeDocument/2006/relationships/hyperlink" Target="https://en.wikipedia.org/wiki/General_relativ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ccsds.org/Pubs/502x0b2c1.pdf" TargetMode="External"/><Relationship Id="rId11" Type="http://schemas.openxmlformats.org/officeDocument/2006/relationships/hyperlink" Target="https://en.wikipedia.org/wiki/Satellite_navigation"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pedia.net/index.php/Time_References_in_GN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0027-3B63-3B4B-99F3-813CFD1F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1157</Words>
  <Characters>6459</Characters>
  <Application>Microsoft Office Word</Application>
  <DocSecurity>0</DocSecurity>
  <Lines>195</Lines>
  <Paragraphs>124</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Berry</cp:lastModifiedBy>
  <cp:revision>7</cp:revision>
  <dcterms:created xsi:type="dcterms:W3CDTF">2018-06-19T20:46:00Z</dcterms:created>
  <dcterms:modified xsi:type="dcterms:W3CDTF">2018-06-19T23:41:00Z</dcterms:modified>
</cp:coreProperties>
</file>