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7D4D60" w:rsidRPr="007D4D60" w:rsidTr="007924C5">
        <w:trPr>
          <w:jc w:val="center"/>
        </w:trPr>
        <w:tc>
          <w:tcPr>
            <w:tcW w:w="810" w:type="dxa"/>
          </w:tcPr>
          <w:p w:rsidR="007D4D60" w:rsidRPr="007D4D60" w:rsidRDefault="007D4D60" w:rsidP="007D4D60">
            <w:r w:rsidRPr="007D4D60">
              <w:t>2-1</w:t>
            </w:r>
          </w:p>
        </w:tc>
        <w:tc>
          <w:tcPr>
            <w:tcW w:w="1062" w:type="dxa"/>
          </w:tcPr>
          <w:p w:rsidR="007D4D60" w:rsidRPr="007D4D60" w:rsidRDefault="007D4D60" w:rsidP="007D4D60">
            <w:r w:rsidRPr="007D4D60">
              <w:t>2.1 thru 2.2.2</w:t>
            </w:r>
          </w:p>
        </w:tc>
        <w:tc>
          <w:tcPr>
            <w:tcW w:w="684" w:type="dxa"/>
          </w:tcPr>
          <w:p w:rsidR="007D4D60" w:rsidRPr="007D4D60" w:rsidRDefault="007D4D60" w:rsidP="007D4D60">
            <w:r w:rsidRPr="007D4D60">
              <w:t>All</w:t>
            </w:r>
          </w:p>
        </w:tc>
        <w:tc>
          <w:tcPr>
            <w:tcW w:w="684" w:type="dxa"/>
            <w:tcBorders>
              <w:right w:val="single" w:sz="4" w:space="0" w:color="auto"/>
            </w:tcBorders>
          </w:tcPr>
          <w:p w:rsidR="007D4D60" w:rsidRPr="007D4D60" w:rsidRDefault="007D4D60" w:rsidP="007D4D60">
            <w:r w:rsidRPr="007D4D60">
              <w:t>te</w:t>
            </w:r>
          </w:p>
        </w:tc>
        <w:tc>
          <w:tcPr>
            <w:tcW w:w="3771" w:type="dxa"/>
            <w:tcBorders>
              <w:top w:val="single" w:sz="4" w:space="0" w:color="auto"/>
              <w:left w:val="single" w:sz="4" w:space="0" w:color="auto"/>
              <w:bottom w:val="single" w:sz="4" w:space="0" w:color="auto"/>
              <w:right w:val="single" w:sz="4" w:space="0" w:color="auto"/>
            </w:tcBorders>
          </w:tcPr>
          <w:p w:rsidR="007D4D60" w:rsidRPr="007D4D60" w:rsidRDefault="007D4D60" w:rsidP="007D4D60">
            <w:r w:rsidRPr="007D4D60">
              <w:t xml:space="preserve">You suggest in your comment on this section that we should "Discuss overlap with Navigation Data Message Overview". </w:t>
            </w:r>
          </w:p>
        </w:tc>
        <w:tc>
          <w:tcPr>
            <w:tcW w:w="2520" w:type="dxa"/>
            <w:tcBorders>
              <w:left w:val="single" w:sz="4" w:space="0" w:color="auto"/>
            </w:tcBorders>
          </w:tcPr>
          <w:p w:rsidR="007D4D60" w:rsidRPr="007D4D60" w:rsidRDefault="007D4D60" w:rsidP="007D4D60">
            <w:r w:rsidRPr="007D4D60">
              <w:t>David Berry / NASA</w:t>
            </w:r>
          </w:p>
        </w:tc>
        <w:tc>
          <w:tcPr>
            <w:tcW w:w="2700" w:type="dxa"/>
          </w:tcPr>
          <w:p w:rsidR="007D4D60" w:rsidRPr="007D4D60" w:rsidRDefault="007D4D60" w:rsidP="007D4D60">
            <w:r w:rsidRPr="007D4D60">
              <w:t>After comparing this section of the Nav Data Definitions &amp; Conventions (NDDC) line for line with the NDMOGB, I think we can propose to delete Section 2 of this document (i.e., the NDDC). At the Rome meetings, (I quote from the minutes) "We discussed what would be the best way to handle the possibly duplicated material in the two Green</w:t>
            </w:r>
          </w:p>
          <w:p w:rsidR="007D4D60" w:rsidRPr="007D4D60" w:rsidRDefault="007D4D60" w:rsidP="007D4D60">
            <w:r w:rsidRPr="007D4D60">
              <w:t>Books; there was general agreement that we wanted to avoid duplication of material where possible."  On this basis, I propose to remove the entirety of Section 2 in the NDDC (the document you are editing). Much of it is duplicated word for word, and in other places the text in NDMO is slightly better than that in NDDC. Unfortunately, we lose figure 2-1, which I rather like.</w:t>
            </w:r>
          </w:p>
        </w:tc>
        <w:tc>
          <w:tcPr>
            <w:tcW w:w="2079" w:type="dxa"/>
          </w:tcPr>
          <w:p w:rsidR="007D4D60" w:rsidRPr="007D4D60" w:rsidRDefault="007D4D60" w:rsidP="007D4D60">
            <w:r w:rsidRPr="007D4D60">
              <w:t>Pending decision on intro material</w:t>
            </w:r>
          </w:p>
        </w:tc>
      </w:tr>
      <w:tr w:rsidR="007D4D60" w:rsidRPr="007D4D60" w:rsidTr="007924C5">
        <w:trPr>
          <w:jc w:val="center"/>
        </w:trPr>
        <w:tc>
          <w:tcPr>
            <w:tcW w:w="810" w:type="dxa"/>
          </w:tcPr>
          <w:p w:rsidR="007D4D60" w:rsidRPr="007D4D60" w:rsidRDefault="007D4D60" w:rsidP="007D4D60">
            <w:r w:rsidRPr="007D4D60">
              <w:lastRenderedPageBreak/>
              <w:t>2-4</w:t>
            </w:r>
          </w:p>
        </w:tc>
        <w:tc>
          <w:tcPr>
            <w:tcW w:w="1062" w:type="dxa"/>
          </w:tcPr>
          <w:p w:rsidR="007D4D60" w:rsidRPr="007D4D60" w:rsidRDefault="007D4D60" w:rsidP="007D4D60">
            <w:r w:rsidRPr="007D4D60">
              <w:t>2.3</w:t>
            </w:r>
          </w:p>
        </w:tc>
        <w:tc>
          <w:tcPr>
            <w:tcW w:w="684" w:type="dxa"/>
          </w:tcPr>
          <w:p w:rsidR="007D4D60" w:rsidRPr="007D4D60" w:rsidRDefault="007D4D60" w:rsidP="007D4D60">
            <w:r w:rsidRPr="007D4D60">
              <w:t>All</w:t>
            </w:r>
          </w:p>
        </w:tc>
        <w:tc>
          <w:tcPr>
            <w:tcW w:w="684" w:type="dxa"/>
            <w:tcBorders>
              <w:right w:val="single" w:sz="4" w:space="0" w:color="auto"/>
            </w:tcBorders>
          </w:tcPr>
          <w:p w:rsidR="007D4D60" w:rsidRPr="007D4D60" w:rsidRDefault="007D4D60" w:rsidP="007D4D60">
            <w:r w:rsidRPr="007D4D60">
              <w:t>ed/te</w:t>
            </w:r>
          </w:p>
        </w:tc>
        <w:tc>
          <w:tcPr>
            <w:tcW w:w="3771" w:type="dxa"/>
            <w:tcBorders>
              <w:top w:val="single" w:sz="4" w:space="0" w:color="auto"/>
              <w:left w:val="single" w:sz="4" w:space="0" w:color="auto"/>
              <w:bottom w:val="single" w:sz="4" w:space="0" w:color="auto"/>
              <w:right w:val="single" w:sz="4" w:space="0" w:color="auto"/>
            </w:tcBorders>
          </w:tcPr>
          <w:p w:rsidR="007D4D60" w:rsidRPr="007D4D60" w:rsidRDefault="007D4D60" w:rsidP="007D4D60">
            <w:pPr>
              <w:rPr>
                <w:lang w:val="en-GB"/>
              </w:rPr>
            </w:pPr>
            <w:r w:rsidRPr="007D4D60">
              <w:rPr>
                <w:lang w:val="en-GB"/>
              </w:rPr>
              <w:t xml:space="preserve">This one section of NDDC is not duplicated in NDMO. </w:t>
            </w:r>
          </w:p>
        </w:tc>
        <w:tc>
          <w:tcPr>
            <w:tcW w:w="2520" w:type="dxa"/>
            <w:tcBorders>
              <w:left w:val="single" w:sz="4" w:space="0" w:color="auto"/>
            </w:tcBorders>
          </w:tcPr>
          <w:p w:rsidR="007D4D60" w:rsidRPr="007D4D60" w:rsidRDefault="007D4D60" w:rsidP="007D4D60">
            <w:r w:rsidRPr="007D4D60">
              <w:t>David Berry / NASA</w:t>
            </w:r>
          </w:p>
        </w:tc>
        <w:tc>
          <w:tcPr>
            <w:tcW w:w="2700" w:type="dxa"/>
          </w:tcPr>
          <w:p w:rsidR="007D4D60" w:rsidRPr="007D4D60" w:rsidRDefault="007D4D60" w:rsidP="007D4D60">
            <w:pPr>
              <w:rPr>
                <w:lang w:val="en-GB"/>
              </w:rPr>
            </w:pPr>
            <w:r w:rsidRPr="007D4D60">
              <w:rPr>
                <w:lang w:val="en-GB"/>
              </w:rPr>
              <w:t>I think we can justifiably move all of this text into section 1.2, applicability.</w:t>
            </w:r>
          </w:p>
        </w:tc>
        <w:tc>
          <w:tcPr>
            <w:tcW w:w="2079" w:type="dxa"/>
          </w:tcPr>
          <w:p w:rsidR="007D4D60" w:rsidRPr="007D4D60" w:rsidRDefault="007D4D60" w:rsidP="007D4D60">
            <w:r w:rsidRPr="007D4D60">
              <w:t>Pending decision on intro material</w:t>
            </w:r>
          </w:p>
        </w:tc>
      </w:tr>
      <w:tr w:rsidR="007D4D60" w:rsidRPr="007D4D60" w:rsidTr="007924C5">
        <w:trPr>
          <w:jc w:val="center"/>
        </w:trPr>
        <w:tc>
          <w:tcPr>
            <w:tcW w:w="810" w:type="dxa"/>
          </w:tcPr>
          <w:p w:rsidR="007D4D60" w:rsidRPr="007D4D60" w:rsidRDefault="007D4D60" w:rsidP="007D4D60">
            <w:r w:rsidRPr="007D4D60">
              <w:t>3-1</w:t>
            </w:r>
          </w:p>
        </w:tc>
        <w:tc>
          <w:tcPr>
            <w:tcW w:w="1062" w:type="dxa"/>
          </w:tcPr>
          <w:p w:rsidR="007D4D60" w:rsidRPr="007D4D60" w:rsidRDefault="007D4D60" w:rsidP="007D4D60">
            <w:r w:rsidRPr="007D4D60">
              <w:t>3</w:t>
            </w:r>
          </w:p>
        </w:tc>
        <w:tc>
          <w:tcPr>
            <w:tcW w:w="684" w:type="dxa"/>
          </w:tcPr>
          <w:p w:rsidR="007D4D60" w:rsidRPr="007D4D60" w:rsidRDefault="007D4D60" w:rsidP="007D4D60">
            <w:r w:rsidRPr="007D4D60">
              <w:t>Title</w:t>
            </w:r>
          </w:p>
        </w:tc>
        <w:tc>
          <w:tcPr>
            <w:tcW w:w="684" w:type="dxa"/>
            <w:tcBorders>
              <w:right w:val="single" w:sz="4" w:space="0" w:color="auto"/>
            </w:tcBorders>
          </w:tcPr>
          <w:p w:rsidR="007D4D60" w:rsidRPr="007D4D60" w:rsidRDefault="007D4D60" w:rsidP="007D4D60">
            <w:r w:rsidRPr="007D4D60">
              <w:t>te</w:t>
            </w:r>
          </w:p>
        </w:tc>
        <w:tc>
          <w:tcPr>
            <w:tcW w:w="3771" w:type="dxa"/>
            <w:tcBorders>
              <w:top w:val="single" w:sz="4" w:space="0" w:color="auto"/>
              <w:left w:val="single" w:sz="4" w:space="0" w:color="auto"/>
              <w:bottom w:val="single" w:sz="4" w:space="0" w:color="auto"/>
              <w:right w:val="single" w:sz="4" w:space="0" w:color="auto"/>
            </w:tcBorders>
          </w:tcPr>
          <w:p w:rsidR="007D4D60" w:rsidRPr="007D4D60" w:rsidRDefault="007D4D60" w:rsidP="007D4D60">
            <w:r w:rsidRPr="007D4D60">
              <w:t>I'm not sure this title applies anymore, now that the material relevant to the title has been moved to NDMO.</w:t>
            </w:r>
          </w:p>
        </w:tc>
        <w:tc>
          <w:tcPr>
            <w:tcW w:w="2520" w:type="dxa"/>
            <w:tcBorders>
              <w:left w:val="single" w:sz="4" w:space="0" w:color="auto"/>
            </w:tcBorders>
          </w:tcPr>
          <w:p w:rsidR="007D4D60" w:rsidRPr="007D4D60" w:rsidRDefault="007D4D60" w:rsidP="007D4D60">
            <w:r w:rsidRPr="007D4D60">
              <w:t>David Berry / NASA</w:t>
            </w:r>
          </w:p>
        </w:tc>
        <w:tc>
          <w:tcPr>
            <w:tcW w:w="2700" w:type="dxa"/>
          </w:tcPr>
          <w:p w:rsidR="007D4D60" w:rsidRPr="007D4D60" w:rsidRDefault="007D4D60" w:rsidP="007D4D60">
            <w:r w:rsidRPr="007D4D60">
              <w:t>Revise the Title of Section 3 to something more applicable (e.g., "Navigation Data Exchange: Data Types and Units" or something like that).</w:t>
            </w:r>
          </w:p>
        </w:tc>
        <w:tc>
          <w:tcPr>
            <w:tcW w:w="2079" w:type="dxa"/>
          </w:tcPr>
          <w:p w:rsidR="007D4D60" w:rsidRPr="007D4D60" w:rsidRDefault="007D4D60" w:rsidP="007D4D60">
            <w:r w:rsidRPr="007D4D60">
              <w:t>Pending decision on intro</w:t>
            </w:r>
          </w:p>
        </w:tc>
      </w:tr>
    </w:tbl>
    <w:p w:rsidR="00890FBD" w:rsidRDefault="00890FBD">
      <w:bookmarkStart w:id="0" w:name="_GoBack"/>
      <w:bookmarkEnd w:id="0"/>
    </w:p>
    <w:sectPr w:rsidR="00890FBD" w:rsidSect="007D4D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60"/>
    <w:rsid w:val="007D4D60"/>
    <w:rsid w:val="0089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F268B-B4A5-458D-BB26-E126708C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Force, Dale A. (GRC-LCF0)</dc:creator>
  <cp:keywords/>
  <dc:description/>
  <cp:lastModifiedBy>Force, Dale A. (GRC-LCF0)</cp:lastModifiedBy>
  <cp:revision>1</cp:revision>
  <dcterms:created xsi:type="dcterms:W3CDTF">2017-05-18T18:15:00Z</dcterms:created>
  <dcterms:modified xsi:type="dcterms:W3CDTF">2017-05-18T18:17:00Z</dcterms:modified>
</cp:coreProperties>
</file>