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8"/>
        <w:gridCol w:w="1134"/>
        <w:gridCol w:w="684"/>
        <w:gridCol w:w="684"/>
        <w:gridCol w:w="3452"/>
        <w:gridCol w:w="1843"/>
        <w:gridCol w:w="4110"/>
        <w:gridCol w:w="1665"/>
      </w:tblGrid>
      <w:tr w:rsidR="0051693F" w:rsidRPr="00C635BB" w14:paraId="44F1A1AF" w14:textId="77777777" w:rsidTr="00440FA2">
        <w:trPr>
          <w:tblHeader/>
          <w:jc w:val="center"/>
        </w:trPr>
        <w:tc>
          <w:tcPr>
            <w:tcW w:w="738" w:type="dxa"/>
            <w:vAlign w:val="center"/>
          </w:tcPr>
          <w:p w14:paraId="0906EB6F" w14:textId="606059AE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134" w:type="dxa"/>
            <w:vAlign w:val="center"/>
          </w:tcPr>
          <w:p w14:paraId="6982A5F6" w14:textId="6B5D3F80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51693F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51693F" w:rsidRPr="00C635BB" w:rsidRDefault="008E3BF4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51693F" w:rsidRPr="0051693F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6EBE376" w14:textId="5F60969C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4110" w:type="dxa"/>
            <w:vAlign w:val="center"/>
          </w:tcPr>
          <w:p w14:paraId="7281D1FF" w14:textId="0F79AF85" w:rsidR="0051693F" w:rsidRPr="00D054C5" w:rsidRDefault="0051693F" w:rsidP="0051693F">
            <w:pPr>
              <w:jc w:val="center"/>
              <w:rPr>
                <w:sz w:val="22"/>
                <w:szCs w:val="22"/>
              </w:rPr>
            </w:pPr>
            <w:r w:rsidRPr="00D054C5">
              <w:rPr>
                <w:b/>
                <w:bCs/>
                <w:color w:val="0000FF"/>
                <w:sz w:val="22"/>
                <w:szCs w:val="22"/>
              </w:rPr>
              <w:t>Suggested Disposition</w:t>
            </w:r>
          </w:p>
        </w:tc>
        <w:tc>
          <w:tcPr>
            <w:tcW w:w="1665" w:type="dxa"/>
            <w:vAlign w:val="center"/>
          </w:tcPr>
          <w:p w14:paraId="5BD0E52C" w14:textId="77777777" w:rsidR="0051693F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Final Disposition</w:t>
            </w:r>
          </w:p>
          <w:p w14:paraId="79622350" w14:textId="77F4AB70" w:rsidR="0051693F" w:rsidRPr="00C635BB" w:rsidRDefault="0051693F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Pr="00D16072">
              <w:rPr>
                <w:b/>
                <w:bCs/>
                <w:color w:val="0000FF"/>
                <w:sz w:val="22"/>
                <w:u w:val="single"/>
              </w:rPr>
              <w:t>Do Not Fill In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440FA2">
        <w:trPr>
          <w:jc w:val="center"/>
        </w:trPr>
        <w:tc>
          <w:tcPr>
            <w:tcW w:w="738" w:type="dxa"/>
          </w:tcPr>
          <w:p w14:paraId="1B50A1D3" w14:textId="43590116" w:rsidR="0051693F" w:rsidRPr="00C635BB" w:rsidRDefault="0009375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3-3</w:t>
            </w:r>
          </w:p>
        </w:tc>
        <w:tc>
          <w:tcPr>
            <w:tcW w:w="1134" w:type="dxa"/>
          </w:tcPr>
          <w:p w14:paraId="7F5CE454" w14:textId="488B8275" w:rsidR="0051693F" w:rsidRPr="00C635BB" w:rsidRDefault="0009375D" w:rsidP="003151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3-2</w:t>
            </w:r>
          </w:p>
        </w:tc>
        <w:tc>
          <w:tcPr>
            <w:tcW w:w="684" w:type="dxa"/>
          </w:tcPr>
          <w:p w14:paraId="3BFE4AE7" w14:textId="214C3EC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21EBC864" w:rsidR="0051693F" w:rsidRPr="00C635BB" w:rsidRDefault="00085BE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0FAB210F" w:rsidR="0051693F" w:rsidRPr="00C635BB" w:rsidRDefault="0009375D" w:rsidP="0009375D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Regarding CENTER_NAME: There could be a different origin for both reference frames Q_FRAM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E_A and Q_FRAME_B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E619880" w14:textId="3A65B600" w:rsidR="0051693F" w:rsidRPr="00C635BB" w:rsidRDefault="00D054C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DLR/GSOC</w:t>
            </w:r>
          </w:p>
        </w:tc>
        <w:tc>
          <w:tcPr>
            <w:tcW w:w="4110" w:type="dxa"/>
          </w:tcPr>
          <w:p w14:paraId="41242EF5" w14:textId="24254E45" w:rsidR="0051693F" w:rsidRPr="00D054C5" w:rsidRDefault="0009375D" w:rsidP="00DD399C">
            <w:pPr>
              <w:rPr>
                <w:sz w:val="22"/>
                <w:szCs w:val="22"/>
              </w:rPr>
            </w:pPr>
            <w:r w:rsidRPr="00D054C5">
              <w:rPr>
                <w:sz w:val="22"/>
                <w:szCs w:val="22"/>
              </w:rPr>
              <w:t>CENTER_NAME belongs to the coordinate frame, thus either use CENTER_NAME_A and CENTER_NAME_B together with Q_FRAME_A and Q_FRAME_B or define the coordinate systems unambiguously (i.e. use EME2000 really only for Earth-centered reference frames and use something else when using the EME2000 orientation with e.g. Mars in the center).</w:t>
            </w:r>
          </w:p>
        </w:tc>
        <w:tc>
          <w:tcPr>
            <w:tcW w:w="1665" w:type="dxa"/>
          </w:tcPr>
          <w:p w14:paraId="242A3948" w14:textId="77777777" w:rsidR="0051693F" w:rsidRPr="00C635BB" w:rsidRDefault="0051693F" w:rsidP="00DD399C"/>
        </w:tc>
      </w:tr>
      <w:tr w:rsidR="008D4F72" w:rsidRPr="00C635BB" w14:paraId="4AE20684" w14:textId="77777777" w:rsidTr="00440FA2">
        <w:trPr>
          <w:jc w:val="center"/>
        </w:trPr>
        <w:tc>
          <w:tcPr>
            <w:tcW w:w="738" w:type="dxa"/>
          </w:tcPr>
          <w:p w14:paraId="0CB2C643" w14:textId="6C8EAE69" w:rsidR="008D4F72" w:rsidRPr="00C635BB" w:rsidRDefault="008D4F7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1134" w:type="dxa"/>
          </w:tcPr>
          <w:p w14:paraId="416CA91F" w14:textId="38C5E0ED" w:rsidR="008D4F72" w:rsidRPr="00C635BB" w:rsidRDefault="008D4F72" w:rsidP="001B7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3.2.4.1, Table 3-3</w:t>
            </w:r>
          </w:p>
        </w:tc>
        <w:tc>
          <w:tcPr>
            <w:tcW w:w="684" w:type="dxa"/>
          </w:tcPr>
          <w:p w14:paraId="1422BBBD" w14:textId="7A4575B2" w:rsidR="008D4F72" w:rsidRPr="00C635BB" w:rsidRDefault="008D4F72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12BAF430" w:rsidR="008D4F72" w:rsidRPr="00C635BB" w:rsidRDefault="0064117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1A52C00A" w:rsidR="008D4F72" w:rsidRPr="00C635BB" w:rsidRDefault="008D4F72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F60755">
              <w:rPr>
                <w:rFonts w:cs="Arial"/>
                <w:sz w:val="22"/>
                <w:szCs w:val="22"/>
              </w:rPr>
              <w:t xml:space="preserve">For block QUATERNION, the quaternion is given along with its derivative, but the </w:t>
            </w:r>
            <w:r>
              <w:rPr>
                <w:rFonts w:cs="Arial"/>
                <w:sz w:val="22"/>
                <w:szCs w:val="22"/>
              </w:rPr>
              <w:t>rate needs to be given in a sepa</w:t>
            </w:r>
            <w:r w:rsidRPr="00F60755">
              <w:rPr>
                <w:rFonts w:cs="Arial"/>
                <w:sz w:val="22"/>
                <w:szCs w:val="22"/>
              </w:rPr>
              <w:t>rate block.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6B6B2A2" w14:textId="0F878477" w:rsidR="008D4F72" w:rsidRPr="00C635BB" w:rsidRDefault="00D054C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DLR/GSOC</w:t>
            </w:r>
          </w:p>
        </w:tc>
        <w:tc>
          <w:tcPr>
            <w:tcW w:w="4110" w:type="dxa"/>
          </w:tcPr>
          <w:p w14:paraId="49EFAA06" w14:textId="739DEE3C" w:rsidR="008D4F72" w:rsidRPr="00D054C5" w:rsidRDefault="008D4F72" w:rsidP="00DD399C">
            <w:pPr>
              <w:rPr>
                <w:sz w:val="22"/>
                <w:szCs w:val="22"/>
              </w:rPr>
            </w:pPr>
            <w:r w:rsidRPr="00D054C5">
              <w:rPr>
                <w:rFonts w:cs="Arial"/>
                <w:sz w:val="22"/>
                <w:szCs w:val="22"/>
              </w:rPr>
              <w:t>For compliance with AEM, one could use the values from ATTITUDE_TYPE from table 4-3 here as well, i.e. use one block QUATERNION/DERIVATIVE and one block QUATERNION/ANGVEL.</w:t>
            </w:r>
          </w:p>
        </w:tc>
        <w:tc>
          <w:tcPr>
            <w:tcW w:w="1665" w:type="dxa"/>
          </w:tcPr>
          <w:p w14:paraId="0A5A725D" w14:textId="77777777" w:rsidR="008D4F72" w:rsidRPr="00C635BB" w:rsidRDefault="008D4F72" w:rsidP="00DD399C"/>
        </w:tc>
      </w:tr>
      <w:tr w:rsidR="008D4F72" w:rsidRPr="00C635BB" w14:paraId="3B24B584" w14:textId="77777777" w:rsidTr="00440FA2">
        <w:trPr>
          <w:jc w:val="center"/>
        </w:trPr>
        <w:tc>
          <w:tcPr>
            <w:tcW w:w="738" w:type="dxa"/>
          </w:tcPr>
          <w:p w14:paraId="34542B84" w14:textId="59845AAD" w:rsidR="008D4F72" w:rsidRPr="00C635BB" w:rsidRDefault="008D4F7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3-5</w:t>
            </w:r>
          </w:p>
        </w:tc>
        <w:tc>
          <w:tcPr>
            <w:tcW w:w="1134" w:type="dxa"/>
          </w:tcPr>
          <w:p w14:paraId="1C164571" w14:textId="45977910" w:rsidR="008D4F72" w:rsidRPr="00C635BB" w:rsidRDefault="008D4F72" w:rsidP="00B27F5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</w:tcPr>
          <w:p w14:paraId="4F273FA5" w14:textId="77777777" w:rsidR="008D4F72" w:rsidRPr="00C635BB" w:rsidRDefault="008D4F72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29369E6B" w:rsidR="008D4F72" w:rsidRPr="00C635BB" w:rsidRDefault="0064117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503A1AE5" w:rsidR="008D4F72" w:rsidRPr="00C635BB" w:rsidRDefault="008D4F72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Q_DIR not really needed, when using a proper definition</w:t>
            </w:r>
            <w:r w:rsidR="00B214AB">
              <w:rPr>
                <w:rFonts w:cs="Arial"/>
                <w:sz w:val="22"/>
                <w:szCs w:val="22"/>
              </w:rPr>
              <w:t>; Rationale: this would ease software implementation (reduction of cases to be considered)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D078422" w14:textId="391028FE" w:rsidR="008D4F72" w:rsidRPr="00C635BB" w:rsidRDefault="00D054C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DLR/GSOC</w:t>
            </w:r>
          </w:p>
        </w:tc>
        <w:tc>
          <w:tcPr>
            <w:tcW w:w="4110" w:type="dxa"/>
          </w:tcPr>
          <w:p w14:paraId="24650A4F" w14:textId="708C5083" w:rsidR="008D4F72" w:rsidRPr="00D054C5" w:rsidRDefault="008D4F72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D054C5">
              <w:rPr>
                <w:sz w:val="22"/>
                <w:szCs w:val="22"/>
              </w:rPr>
              <w:t>Remove Q_DIR and always transform from reference frame A to B.</w:t>
            </w:r>
          </w:p>
        </w:tc>
        <w:tc>
          <w:tcPr>
            <w:tcW w:w="1665" w:type="dxa"/>
          </w:tcPr>
          <w:p w14:paraId="53493936" w14:textId="77777777" w:rsidR="008D4F72" w:rsidRPr="00C635BB" w:rsidRDefault="008D4F72"/>
        </w:tc>
      </w:tr>
      <w:tr w:rsidR="008D4F72" w:rsidRPr="00C635BB" w14:paraId="3727995F" w14:textId="77777777" w:rsidTr="00440FA2">
        <w:trPr>
          <w:jc w:val="center"/>
        </w:trPr>
        <w:tc>
          <w:tcPr>
            <w:tcW w:w="738" w:type="dxa"/>
          </w:tcPr>
          <w:p w14:paraId="0A546E2F" w14:textId="5D41D2FE" w:rsidR="008D4F72" w:rsidRPr="00C635BB" w:rsidRDefault="001B6E7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4-16</w:t>
            </w:r>
          </w:p>
        </w:tc>
        <w:tc>
          <w:tcPr>
            <w:tcW w:w="1134" w:type="dxa"/>
          </w:tcPr>
          <w:p w14:paraId="6413C3C2" w14:textId="333056EF" w:rsidR="008D4F72" w:rsidRPr="00C635BB" w:rsidRDefault="008D4F7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4-3</w:t>
            </w:r>
          </w:p>
        </w:tc>
        <w:tc>
          <w:tcPr>
            <w:tcW w:w="684" w:type="dxa"/>
          </w:tcPr>
          <w:p w14:paraId="2A7B3967" w14:textId="77777777" w:rsidR="008D4F72" w:rsidRPr="00C635BB" w:rsidRDefault="008D4F72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684591" w:rsidR="008D4F72" w:rsidRPr="00C635BB" w:rsidRDefault="0064117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27A21649" w:rsidR="008D4F72" w:rsidRPr="00C635BB" w:rsidRDefault="00B214AB" w:rsidP="001B6E7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CENTER_NAME:</w:t>
            </w:r>
            <w:r w:rsidR="001B6E79" w:rsidRPr="001B6E79">
              <w:rPr>
                <w:rFonts w:cs="Arial"/>
                <w:sz w:val="22"/>
                <w:szCs w:val="22"/>
              </w:rPr>
              <w:t xml:space="preserve"> same </w:t>
            </w:r>
            <w:r>
              <w:rPr>
                <w:rFonts w:cs="Arial"/>
                <w:sz w:val="22"/>
                <w:szCs w:val="22"/>
              </w:rPr>
              <w:t xml:space="preserve">issue </w:t>
            </w:r>
            <w:r w:rsidR="001B6E79" w:rsidRPr="001B6E79">
              <w:rPr>
                <w:rFonts w:cs="Arial"/>
                <w:sz w:val="22"/>
                <w:szCs w:val="22"/>
              </w:rPr>
              <w:t>as with Table 3-2</w:t>
            </w:r>
            <w:r w:rsidR="001B6E79">
              <w:rPr>
                <w:rFonts w:cs="Arial"/>
                <w:sz w:val="22"/>
                <w:szCs w:val="22"/>
              </w:rPr>
              <w:t>, CENTER_NAME, page 3-3 as described above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9588384" w14:textId="1E9A932D" w:rsidR="008D4F72" w:rsidRPr="00C635BB" w:rsidRDefault="00D054C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DLR/GSOC</w:t>
            </w:r>
          </w:p>
        </w:tc>
        <w:tc>
          <w:tcPr>
            <w:tcW w:w="4110" w:type="dxa"/>
          </w:tcPr>
          <w:p w14:paraId="13BA38B8" w14:textId="46CBD5F4" w:rsidR="008D4F72" w:rsidRPr="00D054C5" w:rsidRDefault="008D4F72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665" w:type="dxa"/>
          </w:tcPr>
          <w:p w14:paraId="6A1EB58C" w14:textId="77777777" w:rsidR="008D4F72" w:rsidRPr="00C635BB" w:rsidRDefault="008D4F72"/>
        </w:tc>
      </w:tr>
      <w:tr w:rsidR="008D4F72" w:rsidRPr="00C635BB" w14:paraId="6641EE17" w14:textId="77777777" w:rsidTr="00440FA2">
        <w:trPr>
          <w:jc w:val="center"/>
        </w:trPr>
        <w:tc>
          <w:tcPr>
            <w:tcW w:w="738" w:type="dxa"/>
          </w:tcPr>
          <w:p w14:paraId="05339F5E" w14:textId="394CFBE2" w:rsidR="008D4F72" w:rsidRPr="00C635BB" w:rsidRDefault="00F5070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4-17</w:t>
            </w:r>
          </w:p>
        </w:tc>
        <w:tc>
          <w:tcPr>
            <w:tcW w:w="1134" w:type="dxa"/>
          </w:tcPr>
          <w:p w14:paraId="28758210" w14:textId="01D9FFD0" w:rsidR="008D4F72" w:rsidRPr="00C635BB" w:rsidRDefault="00F5070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4-3</w:t>
            </w:r>
          </w:p>
        </w:tc>
        <w:tc>
          <w:tcPr>
            <w:tcW w:w="684" w:type="dxa"/>
          </w:tcPr>
          <w:p w14:paraId="7D3F72BD" w14:textId="77777777" w:rsidR="008D4F72" w:rsidRPr="00C635BB" w:rsidRDefault="008D4F72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4E418538" w:rsidR="008D4F72" w:rsidRPr="00C635BB" w:rsidRDefault="0064117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28541B9C" w:rsidR="008D4F72" w:rsidRPr="00C635BB" w:rsidRDefault="00B41255" w:rsidP="00B214AB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B41255">
              <w:rPr>
                <w:rFonts w:cs="Arial"/>
                <w:sz w:val="22"/>
                <w:szCs w:val="22"/>
              </w:rPr>
              <w:t>ATTITUDE _DIR</w:t>
            </w:r>
            <w:r w:rsidRPr="001B6E79">
              <w:rPr>
                <w:rFonts w:cs="Arial"/>
                <w:sz w:val="22"/>
                <w:szCs w:val="22"/>
              </w:rPr>
              <w:t xml:space="preserve">: same </w:t>
            </w:r>
            <w:r w:rsidR="00B214AB">
              <w:rPr>
                <w:rFonts w:cs="Arial"/>
                <w:sz w:val="22"/>
                <w:szCs w:val="22"/>
              </w:rPr>
              <w:t xml:space="preserve">issue </w:t>
            </w:r>
            <w:r w:rsidRPr="001B6E79">
              <w:rPr>
                <w:rFonts w:cs="Arial"/>
                <w:sz w:val="22"/>
                <w:szCs w:val="22"/>
              </w:rPr>
              <w:t>as with Table 3-</w:t>
            </w:r>
            <w:r>
              <w:rPr>
                <w:rFonts w:cs="Arial"/>
                <w:sz w:val="22"/>
                <w:szCs w:val="22"/>
              </w:rPr>
              <w:t>3, Q_DIR, page 3-</w:t>
            </w:r>
            <w:r w:rsidR="00B311FC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 xml:space="preserve"> as described above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D2DCE23" w14:textId="27A49FCA" w:rsidR="008D4F72" w:rsidRPr="00C635BB" w:rsidRDefault="00D054C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DLR/GSOC</w:t>
            </w:r>
          </w:p>
        </w:tc>
        <w:tc>
          <w:tcPr>
            <w:tcW w:w="4110" w:type="dxa"/>
          </w:tcPr>
          <w:p w14:paraId="3149DE4C" w14:textId="7BA05271" w:rsidR="008D4F72" w:rsidRPr="00D054C5" w:rsidRDefault="00B41255" w:rsidP="00B41255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D054C5">
              <w:rPr>
                <w:rFonts w:cs="Arial"/>
                <w:sz w:val="22"/>
                <w:szCs w:val="22"/>
              </w:rPr>
              <w:t xml:space="preserve">Remove ATTITUDE _DIR and always transform from </w:t>
            </w:r>
            <w:r w:rsidR="00291AC4" w:rsidRPr="00D054C5">
              <w:rPr>
                <w:rFonts w:cs="Arial"/>
                <w:sz w:val="22"/>
                <w:szCs w:val="22"/>
              </w:rPr>
              <w:t xml:space="preserve">reference frame </w:t>
            </w:r>
            <w:r w:rsidRPr="00D054C5">
              <w:rPr>
                <w:rFonts w:cs="Arial"/>
                <w:sz w:val="22"/>
                <w:szCs w:val="22"/>
              </w:rPr>
              <w:t>A to B.</w:t>
            </w:r>
          </w:p>
        </w:tc>
        <w:tc>
          <w:tcPr>
            <w:tcW w:w="1665" w:type="dxa"/>
          </w:tcPr>
          <w:p w14:paraId="79E1CB51" w14:textId="77777777" w:rsidR="008D4F72" w:rsidRPr="00C635BB" w:rsidRDefault="008D4F72"/>
        </w:tc>
      </w:tr>
      <w:tr w:rsidR="008D4F72" w:rsidRPr="00C635BB" w14:paraId="2D307ABF" w14:textId="77777777" w:rsidTr="00440FA2">
        <w:trPr>
          <w:jc w:val="center"/>
        </w:trPr>
        <w:tc>
          <w:tcPr>
            <w:tcW w:w="738" w:type="dxa"/>
          </w:tcPr>
          <w:p w14:paraId="0A57D860" w14:textId="33692E7B" w:rsidR="008D4F72" w:rsidRPr="00C635BB" w:rsidRDefault="00E748C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4-16</w:t>
            </w:r>
          </w:p>
        </w:tc>
        <w:tc>
          <w:tcPr>
            <w:tcW w:w="1134" w:type="dxa"/>
          </w:tcPr>
          <w:p w14:paraId="6714A38E" w14:textId="04719365" w:rsidR="008D4F72" w:rsidRPr="00C635BB" w:rsidRDefault="00E748C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4-3</w:t>
            </w:r>
          </w:p>
        </w:tc>
        <w:tc>
          <w:tcPr>
            <w:tcW w:w="684" w:type="dxa"/>
          </w:tcPr>
          <w:p w14:paraId="55E74C96" w14:textId="77777777" w:rsidR="008D4F72" w:rsidRPr="00C635BB" w:rsidRDefault="008D4F72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118C6AE9" w:rsidR="008D4F72" w:rsidRPr="00C635BB" w:rsidRDefault="004F1D54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61BF79AC" w:rsidR="008D4F72" w:rsidRPr="00C635BB" w:rsidRDefault="00E748CC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Reference frames are named REF_FRAME_A/B, compared to Q_FRAME_A/B in table 3-3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A54FCBE" w14:textId="2A67FD1B" w:rsidR="008D4F72" w:rsidRPr="00C635BB" w:rsidRDefault="00D054C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DLR/GSOC</w:t>
            </w:r>
          </w:p>
        </w:tc>
        <w:tc>
          <w:tcPr>
            <w:tcW w:w="4110" w:type="dxa"/>
          </w:tcPr>
          <w:p w14:paraId="4970D19A" w14:textId="0813D18F" w:rsidR="008D4F72" w:rsidRPr="00D054C5" w:rsidRDefault="00E748CC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D054C5">
              <w:rPr>
                <w:rFonts w:cs="Arial"/>
                <w:sz w:val="22"/>
                <w:szCs w:val="22"/>
              </w:rPr>
              <w:t>One could use one name for reference frames, i.e. eith</w:t>
            </w:r>
            <w:r w:rsidR="00B214AB">
              <w:rPr>
                <w:rFonts w:cs="Arial"/>
                <w:sz w:val="22"/>
                <w:szCs w:val="22"/>
              </w:rPr>
              <w:t>er REF_FRAME_A/B or Q_FRAME_A/B, preferably REF_FRAME_A/B</w:t>
            </w:r>
          </w:p>
        </w:tc>
        <w:tc>
          <w:tcPr>
            <w:tcW w:w="1665" w:type="dxa"/>
          </w:tcPr>
          <w:p w14:paraId="0825CCDA" w14:textId="77777777" w:rsidR="008D4F72" w:rsidRPr="00C635BB" w:rsidRDefault="008D4F72"/>
        </w:tc>
      </w:tr>
      <w:tr w:rsidR="008D4F72" w:rsidRPr="00C635BB" w14:paraId="59D2C7C3" w14:textId="77777777" w:rsidTr="00440FA2">
        <w:trPr>
          <w:jc w:val="center"/>
        </w:trPr>
        <w:tc>
          <w:tcPr>
            <w:tcW w:w="738" w:type="dxa"/>
          </w:tcPr>
          <w:p w14:paraId="37E1CA07" w14:textId="658953D0" w:rsidR="008D4F72" w:rsidRPr="00C635BB" w:rsidRDefault="0051194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4-17</w:t>
            </w:r>
          </w:p>
        </w:tc>
        <w:tc>
          <w:tcPr>
            <w:tcW w:w="1134" w:type="dxa"/>
          </w:tcPr>
          <w:p w14:paraId="6C1043CF" w14:textId="60614307" w:rsidR="008D4F72" w:rsidRPr="00C635BB" w:rsidRDefault="0051194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4-3</w:t>
            </w:r>
          </w:p>
        </w:tc>
        <w:tc>
          <w:tcPr>
            <w:tcW w:w="684" w:type="dxa"/>
          </w:tcPr>
          <w:p w14:paraId="1EA7E3DB" w14:textId="77777777" w:rsidR="008D4F72" w:rsidRPr="00C635BB" w:rsidRDefault="008D4F72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781AEA4" w:rsidR="008D4F72" w:rsidRPr="00C635BB" w:rsidRDefault="0064117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6D8EA930" w:rsidR="008D4F72" w:rsidRPr="00C635BB" w:rsidRDefault="00511940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QUATERNION_TYPE should be </w:t>
            </w:r>
            <w:r>
              <w:rPr>
                <w:rFonts w:cs="Arial"/>
                <w:sz w:val="22"/>
                <w:szCs w:val="22"/>
              </w:rPr>
              <w:lastRenderedPageBreak/>
              <w:t>properly defined instead of letting the user choose it</w:t>
            </w:r>
            <w:r w:rsidR="00B214AB">
              <w:rPr>
                <w:rFonts w:cs="Arial"/>
                <w:sz w:val="22"/>
                <w:szCs w:val="22"/>
              </w:rPr>
              <w:t xml:space="preserve">; </w:t>
            </w:r>
            <w:r w:rsidR="00B214AB">
              <w:rPr>
                <w:rFonts w:cs="Arial"/>
                <w:sz w:val="22"/>
                <w:szCs w:val="22"/>
              </w:rPr>
              <w:t>Rationale: this would ease software implementation (reduction of cases to be considered)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2A4F905" w14:textId="4442E42B" w:rsidR="008D4F72" w:rsidRPr="00C635BB" w:rsidRDefault="00D054C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DLR/GSOC</w:t>
            </w:r>
          </w:p>
        </w:tc>
        <w:tc>
          <w:tcPr>
            <w:tcW w:w="4110" w:type="dxa"/>
          </w:tcPr>
          <w:p w14:paraId="2DF1ED17" w14:textId="79238F5F" w:rsidR="008D4F72" w:rsidRPr="00D054C5" w:rsidRDefault="00511940" w:rsidP="00511940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D054C5">
              <w:rPr>
                <w:rFonts w:cs="Arial"/>
                <w:sz w:val="22"/>
                <w:szCs w:val="22"/>
              </w:rPr>
              <w:t xml:space="preserve">QUATERNION_TYPE: As with APM, </w:t>
            </w:r>
            <w:r w:rsidRPr="00D054C5">
              <w:rPr>
                <w:rFonts w:cs="Arial"/>
                <w:sz w:val="22"/>
                <w:szCs w:val="22"/>
              </w:rPr>
              <w:lastRenderedPageBreak/>
              <w:t xml:space="preserve">one should have a fixed definition. One should use the scalar part as 4th value. </w:t>
            </w:r>
            <w:r w:rsidRPr="00D054C5">
              <w:rPr>
                <w:rFonts w:cs="Arial"/>
                <w:sz w:val="22"/>
                <w:szCs w:val="22"/>
              </w:rPr>
              <w:sym w:font="Wingdings" w:char="F0E8"/>
            </w:r>
            <w:r w:rsidRPr="00D054C5">
              <w:rPr>
                <w:rFonts w:cs="Arial"/>
                <w:sz w:val="22"/>
                <w:szCs w:val="22"/>
              </w:rPr>
              <w:t xml:space="preserve"> Afterwards, table 4-4 </w:t>
            </w:r>
            <w:r w:rsidR="00977D23" w:rsidRPr="00D054C5">
              <w:rPr>
                <w:rFonts w:cs="Arial"/>
                <w:sz w:val="22"/>
                <w:szCs w:val="22"/>
              </w:rPr>
              <w:t xml:space="preserve">on page 4-20 </w:t>
            </w:r>
            <w:r w:rsidRPr="00D054C5">
              <w:rPr>
                <w:rFonts w:cs="Arial"/>
                <w:sz w:val="22"/>
                <w:szCs w:val="22"/>
              </w:rPr>
              <w:t>can be strongly simplified.</w:t>
            </w:r>
          </w:p>
        </w:tc>
        <w:tc>
          <w:tcPr>
            <w:tcW w:w="1665" w:type="dxa"/>
          </w:tcPr>
          <w:p w14:paraId="35214EA4" w14:textId="77777777" w:rsidR="008D4F72" w:rsidRPr="00C635BB" w:rsidRDefault="008D4F72"/>
        </w:tc>
      </w:tr>
      <w:tr w:rsidR="008D4F72" w:rsidRPr="00C635BB" w14:paraId="2AB902FE" w14:textId="77777777" w:rsidTr="00440FA2">
        <w:trPr>
          <w:jc w:val="center"/>
        </w:trPr>
        <w:tc>
          <w:tcPr>
            <w:tcW w:w="738" w:type="dxa"/>
          </w:tcPr>
          <w:p w14:paraId="06466A0C" w14:textId="3A29E02F" w:rsidR="008D4F72" w:rsidRPr="00C635BB" w:rsidRDefault="00D4548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5-1</w:t>
            </w:r>
          </w:p>
        </w:tc>
        <w:tc>
          <w:tcPr>
            <w:tcW w:w="1134" w:type="dxa"/>
          </w:tcPr>
          <w:p w14:paraId="565EF88B" w14:textId="7AA229C8" w:rsidR="008D4F72" w:rsidRPr="00C635BB" w:rsidRDefault="00D4548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5.4.1</w:t>
            </w:r>
          </w:p>
        </w:tc>
        <w:tc>
          <w:tcPr>
            <w:tcW w:w="684" w:type="dxa"/>
          </w:tcPr>
          <w:p w14:paraId="1FFF7CF3" w14:textId="77777777" w:rsidR="008D4F72" w:rsidRPr="00C635BB" w:rsidRDefault="008D4F72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5722CAC1" w:rsidR="008D4F72" w:rsidRPr="00C635BB" w:rsidRDefault="007C608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3A47BE9" w:rsidR="008D4F72" w:rsidRPr="00C635BB" w:rsidRDefault="004B5B7C" w:rsidP="00B214AB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Minor issue: 254 ASCII chars plus 2 line termination chars are more than 255 chars (which </w:t>
            </w:r>
            <w:r w:rsidR="00B214AB">
              <w:rPr>
                <w:rFonts w:cs="Arial"/>
                <w:sz w:val="22"/>
                <w:szCs w:val="22"/>
              </w:rPr>
              <w:t>is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214AB">
              <w:rPr>
                <w:rFonts w:cs="Arial"/>
                <w:sz w:val="22"/>
                <w:szCs w:val="22"/>
              </w:rPr>
              <w:t>considered as</w:t>
            </w:r>
            <w:r>
              <w:rPr>
                <w:rFonts w:cs="Arial"/>
                <w:sz w:val="22"/>
                <w:szCs w:val="22"/>
              </w:rPr>
              <w:t xml:space="preserve"> limit)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1E29BA3" w14:textId="6771A8A3" w:rsidR="008D4F72" w:rsidRPr="00C635BB" w:rsidRDefault="00D054C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DLR/GSOC</w:t>
            </w:r>
          </w:p>
        </w:tc>
        <w:tc>
          <w:tcPr>
            <w:tcW w:w="4110" w:type="dxa"/>
          </w:tcPr>
          <w:p w14:paraId="5D7996A7" w14:textId="543853F1" w:rsidR="008D4F72" w:rsidRPr="00D054C5" w:rsidRDefault="00D4548A" w:rsidP="00782FA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D054C5">
              <w:rPr>
                <w:rFonts w:cs="Arial"/>
                <w:sz w:val="22"/>
                <w:szCs w:val="22"/>
              </w:rPr>
              <w:t>It should say "... must not exceed 255 ASCII characters and spaces (including line termination character(s)", cause the line termination characters can be more than one char.</w:t>
            </w:r>
            <w:r w:rsidR="00782FA7" w:rsidRPr="00D054C5">
              <w:rPr>
                <w:rFonts w:cs="Arial"/>
                <w:sz w:val="22"/>
                <w:szCs w:val="22"/>
              </w:rPr>
              <w:t xml:space="preserve"> Additionally, w</w:t>
            </w:r>
            <w:r w:rsidRPr="00D054C5">
              <w:rPr>
                <w:rFonts w:cs="Arial"/>
                <w:sz w:val="22"/>
                <w:szCs w:val="22"/>
              </w:rPr>
              <w:t xml:space="preserve">hen using 255 </w:t>
            </w:r>
            <w:proofErr w:type="spellStart"/>
            <w:r w:rsidRPr="00D054C5">
              <w:rPr>
                <w:rFonts w:cs="Arial"/>
                <w:sz w:val="22"/>
                <w:szCs w:val="22"/>
              </w:rPr>
              <w:t>chars</w:t>
            </w:r>
            <w:proofErr w:type="spellEnd"/>
            <w:r w:rsidRPr="00D054C5">
              <w:rPr>
                <w:rFonts w:cs="Arial"/>
                <w:sz w:val="22"/>
                <w:szCs w:val="22"/>
              </w:rPr>
              <w:t xml:space="preserve"> per line, one cannot read them very well on screen or printed, thus it should be less (e.g. 80 chars).</w:t>
            </w:r>
          </w:p>
        </w:tc>
        <w:tc>
          <w:tcPr>
            <w:tcW w:w="1665" w:type="dxa"/>
          </w:tcPr>
          <w:p w14:paraId="1C9567BA" w14:textId="77777777" w:rsidR="008D4F72" w:rsidRPr="00C635BB" w:rsidRDefault="008D4F72"/>
        </w:tc>
      </w:tr>
      <w:tr w:rsidR="008D4F72" w:rsidRPr="00C635BB" w14:paraId="742838E7" w14:textId="77777777" w:rsidTr="00440FA2">
        <w:trPr>
          <w:jc w:val="center"/>
        </w:trPr>
        <w:tc>
          <w:tcPr>
            <w:tcW w:w="738" w:type="dxa"/>
          </w:tcPr>
          <w:p w14:paraId="16B49B80" w14:textId="3D3271B3" w:rsidR="008D4F72" w:rsidRPr="00C635BB" w:rsidRDefault="00105D5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F-1 &amp; F-2</w:t>
            </w:r>
          </w:p>
        </w:tc>
        <w:tc>
          <w:tcPr>
            <w:tcW w:w="1134" w:type="dxa"/>
          </w:tcPr>
          <w:p w14:paraId="29BE2D15" w14:textId="26C0F0E3" w:rsidR="008D4F72" w:rsidRPr="00C635BB" w:rsidRDefault="00105D5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F-1</w:t>
            </w:r>
          </w:p>
        </w:tc>
        <w:tc>
          <w:tcPr>
            <w:tcW w:w="684" w:type="dxa"/>
          </w:tcPr>
          <w:p w14:paraId="0ABB2889" w14:textId="77777777" w:rsidR="008D4F72" w:rsidRPr="00C635BB" w:rsidRDefault="008D4F72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A4F6E6" w:rsidR="008D4F72" w:rsidRPr="00C635BB" w:rsidRDefault="00105D5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516B97A2" w:rsidR="008D4F72" w:rsidRPr="00C635BB" w:rsidRDefault="00105D5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Some links are broken in rows 7, 8, 12 and 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7B53604" w14:textId="7D1D3314" w:rsidR="008D4F72" w:rsidRPr="00C635BB" w:rsidRDefault="00D054C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DLR/GSOC</w:t>
            </w:r>
          </w:p>
        </w:tc>
        <w:tc>
          <w:tcPr>
            <w:tcW w:w="4110" w:type="dxa"/>
          </w:tcPr>
          <w:p w14:paraId="6DE6017B" w14:textId="77777777" w:rsidR="008D4F72" w:rsidRPr="00D054C5" w:rsidRDefault="008D4F72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665" w:type="dxa"/>
          </w:tcPr>
          <w:p w14:paraId="2BD3B735" w14:textId="77777777" w:rsidR="008D4F72" w:rsidRPr="00C635BB" w:rsidRDefault="008D4F72"/>
        </w:tc>
      </w:tr>
      <w:tr w:rsidR="0019459B" w:rsidRPr="00C635BB" w14:paraId="73297D47" w14:textId="77777777" w:rsidTr="00DE73CD">
        <w:trPr>
          <w:jc w:val="center"/>
        </w:trPr>
        <w:tc>
          <w:tcPr>
            <w:tcW w:w="14310" w:type="dxa"/>
            <w:gridSpan w:val="8"/>
            <w:shd w:val="clear" w:color="auto" w:fill="FFFF00"/>
          </w:tcPr>
          <w:p w14:paraId="3F0E6D44" w14:textId="60ADDC59" w:rsidR="0019459B" w:rsidRDefault="0019459B"/>
          <w:p w14:paraId="14321720" w14:textId="6A563430" w:rsidR="0019459B" w:rsidRDefault="0019459B">
            <w:r>
              <w:t>In the following are some more general thoughts / comments on the ADM</w:t>
            </w:r>
          </w:p>
          <w:p w14:paraId="28E4F8CC" w14:textId="62989FAA" w:rsidR="0019459B" w:rsidRPr="001A2CB4" w:rsidRDefault="0019459B"/>
        </w:tc>
      </w:tr>
      <w:tr w:rsidR="008D4F72" w:rsidRPr="00C635BB" w14:paraId="31BFA466" w14:textId="77777777" w:rsidTr="00440FA2">
        <w:trPr>
          <w:jc w:val="center"/>
        </w:trPr>
        <w:tc>
          <w:tcPr>
            <w:tcW w:w="738" w:type="dxa"/>
          </w:tcPr>
          <w:p w14:paraId="19B7FE76" w14:textId="4BA59876" w:rsidR="008D4F72" w:rsidRPr="00C635BB" w:rsidRDefault="00431EC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2-1</w:t>
            </w:r>
          </w:p>
        </w:tc>
        <w:tc>
          <w:tcPr>
            <w:tcW w:w="1134" w:type="dxa"/>
          </w:tcPr>
          <w:p w14:paraId="42A9BD79" w14:textId="2AD6D790" w:rsidR="008D4F72" w:rsidRPr="00C635BB" w:rsidRDefault="00431EC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2.1.3 and others</w:t>
            </w:r>
          </w:p>
        </w:tc>
        <w:tc>
          <w:tcPr>
            <w:tcW w:w="684" w:type="dxa"/>
          </w:tcPr>
          <w:p w14:paraId="5FA666B0" w14:textId="5378740E" w:rsidR="008D4F72" w:rsidRPr="00C635BB" w:rsidRDefault="008D4F72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1E29B84C" w:rsidR="008D4F72" w:rsidRPr="00C635BB" w:rsidRDefault="00781F6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0F1869FC" w:rsidR="008D4F72" w:rsidRPr="00C635BB" w:rsidRDefault="00431EC2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Why not include several S/C in one AEM file?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19A9E80" w14:textId="24B619DD" w:rsidR="008D4F72" w:rsidRPr="00C635BB" w:rsidRDefault="00D054C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DLR/GSOC</w:t>
            </w:r>
          </w:p>
        </w:tc>
        <w:tc>
          <w:tcPr>
            <w:tcW w:w="4110" w:type="dxa"/>
          </w:tcPr>
          <w:p w14:paraId="13BF649A" w14:textId="0767AF5B" w:rsidR="00255857" w:rsidRPr="00D054C5" w:rsidRDefault="00431EC2" w:rsidP="002843FD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D054C5">
              <w:rPr>
                <w:rFonts w:cs="Arial"/>
                <w:sz w:val="22"/>
                <w:szCs w:val="22"/>
              </w:rPr>
              <w:t>With the current AEM format, it should be possible without changing something</w:t>
            </w:r>
            <w:r w:rsidR="00DE278E" w:rsidRPr="00D054C5">
              <w:rPr>
                <w:rFonts w:cs="Arial"/>
                <w:sz w:val="22"/>
                <w:szCs w:val="22"/>
              </w:rPr>
              <w:t xml:space="preserve">. </w:t>
            </w:r>
            <w:r w:rsidR="00C22399" w:rsidRPr="00D054C5">
              <w:rPr>
                <w:rFonts w:cs="Arial"/>
                <w:sz w:val="22"/>
                <w:szCs w:val="22"/>
              </w:rPr>
              <w:t>Example:</w:t>
            </w:r>
            <w:r w:rsidR="00DE278E" w:rsidRPr="00D054C5">
              <w:rPr>
                <w:rFonts w:cs="Arial"/>
                <w:sz w:val="22"/>
                <w:szCs w:val="22"/>
              </w:rPr>
              <w:br/>
            </w:r>
            <w:r w:rsidR="00255857" w:rsidRPr="00D054C5">
              <w:rPr>
                <w:rFonts w:cs="Arial"/>
                <w:sz w:val="22"/>
                <w:szCs w:val="22"/>
              </w:rPr>
              <w:br/>
              <w:t>META_START</w:t>
            </w:r>
            <w:r w:rsidR="00255857" w:rsidRPr="00D054C5">
              <w:rPr>
                <w:rFonts w:cs="Arial"/>
                <w:sz w:val="22"/>
                <w:szCs w:val="22"/>
              </w:rPr>
              <w:br/>
              <w:t>OBJECT_NAME = OBJ_1</w:t>
            </w:r>
            <w:r w:rsidR="00255857" w:rsidRPr="00D054C5">
              <w:rPr>
                <w:rFonts w:cs="Arial"/>
                <w:sz w:val="22"/>
                <w:szCs w:val="22"/>
              </w:rPr>
              <w:br/>
              <w:t>…</w:t>
            </w:r>
            <w:r w:rsidR="00255857" w:rsidRPr="00D054C5">
              <w:rPr>
                <w:rFonts w:cs="Arial"/>
                <w:sz w:val="22"/>
                <w:szCs w:val="22"/>
              </w:rPr>
              <w:br/>
              <w:t>META_STOP</w:t>
            </w:r>
            <w:r w:rsidR="00255857" w:rsidRPr="00D054C5">
              <w:rPr>
                <w:rFonts w:cs="Arial"/>
                <w:sz w:val="22"/>
                <w:szCs w:val="22"/>
              </w:rPr>
              <w:br/>
            </w:r>
            <w:r w:rsidR="00255857" w:rsidRPr="00D054C5">
              <w:rPr>
                <w:rFonts w:cs="Arial"/>
                <w:sz w:val="22"/>
                <w:szCs w:val="22"/>
              </w:rPr>
              <w:br/>
              <w:t>DATA_START</w:t>
            </w:r>
            <w:r w:rsidR="00255857" w:rsidRPr="00D054C5">
              <w:rPr>
                <w:rFonts w:cs="Arial"/>
                <w:sz w:val="22"/>
                <w:szCs w:val="22"/>
              </w:rPr>
              <w:br/>
              <w:t>…</w:t>
            </w:r>
            <w:r w:rsidR="00255857" w:rsidRPr="00D054C5">
              <w:rPr>
                <w:rFonts w:cs="Arial"/>
                <w:sz w:val="22"/>
                <w:szCs w:val="22"/>
              </w:rPr>
              <w:br/>
              <w:t>DATA_END</w:t>
            </w:r>
            <w:r w:rsidR="00255857" w:rsidRPr="00D054C5">
              <w:rPr>
                <w:rFonts w:cs="Arial"/>
                <w:sz w:val="22"/>
                <w:szCs w:val="22"/>
              </w:rPr>
              <w:br/>
            </w:r>
            <w:r w:rsidR="00255857" w:rsidRPr="00D054C5">
              <w:rPr>
                <w:rFonts w:cs="Arial"/>
                <w:sz w:val="22"/>
                <w:szCs w:val="22"/>
              </w:rPr>
              <w:br/>
              <w:t>META_START</w:t>
            </w:r>
            <w:r w:rsidR="00255857" w:rsidRPr="00D054C5">
              <w:rPr>
                <w:rFonts w:cs="Arial"/>
                <w:sz w:val="22"/>
                <w:szCs w:val="22"/>
              </w:rPr>
              <w:br/>
              <w:t>OBJECT_NAME = OBJ_2</w:t>
            </w:r>
            <w:r w:rsidR="00255857" w:rsidRPr="00D054C5">
              <w:rPr>
                <w:rFonts w:cs="Arial"/>
                <w:sz w:val="22"/>
                <w:szCs w:val="22"/>
              </w:rPr>
              <w:br/>
            </w:r>
            <w:r w:rsidR="00255857" w:rsidRPr="00D054C5">
              <w:rPr>
                <w:rFonts w:cs="Arial"/>
                <w:sz w:val="22"/>
                <w:szCs w:val="22"/>
              </w:rPr>
              <w:lastRenderedPageBreak/>
              <w:t>…</w:t>
            </w:r>
            <w:r w:rsidR="00255857" w:rsidRPr="00D054C5">
              <w:rPr>
                <w:rFonts w:cs="Arial"/>
                <w:sz w:val="22"/>
                <w:szCs w:val="22"/>
              </w:rPr>
              <w:br/>
              <w:t>META_STOP</w:t>
            </w:r>
            <w:r w:rsidR="00255857" w:rsidRPr="00D054C5">
              <w:rPr>
                <w:rFonts w:cs="Arial"/>
                <w:sz w:val="22"/>
                <w:szCs w:val="22"/>
              </w:rPr>
              <w:br/>
            </w:r>
            <w:r w:rsidR="00255857" w:rsidRPr="00D054C5">
              <w:rPr>
                <w:rFonts w:cs="Arial"/>
                <w:sz w:val="22"/>
                <w:szCs w:val="22"/>
              </w:rPr>
              <w:br/>
              <w:t>DATA_START</w:t>
            </w:r>
            <w:r w:rsidR="00255857" w:rsidRPr="00D054C5">
              <w:rPr>
                <w:rFonts w:cs="Arial"/>
                <w:sz w:val="22"/>
                <w:szCs w:val="22"/>
              </w:rPr>
              <w:br/>
              <w:t>…</w:t>
            </w:r>
            <w:r w:rsidR="00255857" w:rsidRPr="00D054C5">
              <w:rPr>
                <w:rFonts w:cs="Arial"/>
                <w:sz w:val="22"/>
                <w:szCs w:val="22"/>
              </w:rPr>
              <w:br/>
              <w:t>DATA_END</w:t>
            </w:r>
          </w:p>
        </w:tc>
        <w:tc>
          <w:tcPr>
            <w:tcW w:w="1665" w:type="dxa"/>
          </w:tcPr>
          <w:p w14:paraId="30832217" w14:textId="77777777" w:rsidR="008D4F72" w:rsidRPr="00C635BB" w:rsidRDefault="008D4F72"/>
        </w:tc>
      </w:tr>
      <w:tr w:rsidR="00FD7591" w:rsidRPr="00C635BB" w14:paraId="6CCC2C09" w14:textId="77777777" w:rsidTr="00440FA2">
        <w:trPr>
          <w:jc w:val="center"/>
        </w:trPr>
        <w:tc>
          <w:tcPr>
            <w:tcW w:w="738" w:type="dxa"/>
          </w:tcPr>
          <w:p w14:paraId="26D74806" w14:textId="47BC9C2A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3-7</w:t>
            </w:r>
          </w:p>
        </w:tc>
        <w:tc>
          <w:tcPr>
            <w:tcW w:w="1134" w:type="dxa"/>
          </w:tcPr>
          <w:p w14:paraId="2BF2DDFB" w14:textId="29BFD598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</w:tcPr>
          <w:p w14:paraId="5332931C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132A947F" w:rsidR="00FD7591" w:rsidRPr="00C635BB" w:rsidRDefault="00781F6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3F71F5FF" w:rsidR="00FD7591" w:rsidRPr="00C635BB" w:rsidRDefault="00FD759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INERTIA block: For APM, an inertia matrix can be given, but there is no possibility to specify a time-varying moment of inertia for the AEM (which may be needed, if one wants to calculate an angular momentum from the angular rates with a non-constant moment of inertia).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55CB087" w14:textId="7EFF9B6A" w:rsidR="00FD7591" w:rsidRPr="00C635BB" w:rsidRDefault="00D054C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DLR/GSOC</w:t>
            </w:r>
          </w:p>
        </w:tc>
        <w:tc>
          <w:tcPr>
            <w:tcW w:w="4110" w:type="dxa"/>
          </w:tcPr>
          <w:p w14:paraId="3FED0256" w14:textId="11F6FFF2" w:rsidR="00FD7591" w:rsidRPr="00D054C5" w:rsidRDefault="00FD759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D054C5">
              <w:rPr>
                <w:rFonts w:cs="Arial"/>
                <w:sz w:val="22"/>
                <w:szCs w:val="22"/>
              </w:rPr>
              <w:t>Include moment of inertias in AEMs.</w:t>
            </w:r>
          </w:p>
        </w:tc>
        <w:tc>
          <w:tcPr>
            <w:tcW w:w="1665" w:type="dxa"/>
          </w:tcPr>
          <w:p w14:paraId="027F682D" w14:textId="77777777" w:rsidR="00FD7591" w:rsidRPr="00C635BB" w:rsidRDefault="00FD7591"/>
        </w:tc>
      </w:tr>
      <w:tr w:rsidR="00FD7591" w:rsidRPr="00C635BB" w14:paraId="15D72A74" w14:textId="77777777" w:rsidTr="00440FA2">
        <w:trPr>
          <w:jc w:val="center"/>
        </w:trPr>
        <w:tc>
          <w:tcPr>
            <w:tcW w:w="738" w:type="dxa"/>
          </w:tcPr>
          <w:p w14:paraId="225B01BE" w14:textId="562B4F94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5-5</w:t>
            </w:r>
          </w:p>
        </w:tc>
        <w:tc>
          <w:tcPr>
            <w:tcW w:w="1134" w:type="dxa"/>
          </w:tcPr>
          <w:p w14:paraId="185E969D" w14:textId="5698D48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5.8.3.2</w:t>
            </w:r>
          </w:p>
        </w:tc>
        <w:tc>
          <w:tcPr>
            <w:tcW w:w="684" w:type="dxa"/>
          </w:tcPr>
          <w:p w14:paraId="7FC4CE89" w14:textId="401E313C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638F8142" w:rsidR="00FD7591" w:rsidRPr="00C635BB" w:rsidRDefault="00781F6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61539DBE" w:rsidR="00FD7591" w:rsidRPr="00C635BB" w:rsidRDefault="00FD759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Writing the attitude ephemeris accuracy / residuals into the comments section is not recommended since comments sections shall provide only additional information, which is not necessarily needed for an automated and complete reading of ADM files.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6C849C7" w14:textId="4F68E3D4" w:rsidR="00FD7591" w:rsidRPr="00C635BB" w:rsidRDefault="00D054C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DLR/GSOC</w:t>
            </w:r>
          </w:p>
        </w:tc>
        <w:tc>
          <w:tcPr>
            <w:tcW w:w="4110" w:type="dxa"/>
          </w:tcPr>
          <w:p w14:paraId="4CC2FD22" w14:textId="5FD75EC8" w:rsidR="00FD7591" w:rsidRPr="00D054C5" w:rsidRDefault="00FD759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D054C5">
              <w:rPr>
                <w:rFonts w:cs="Arial"/>
                <w:sz w:val="22"/>
                <w:szCs w:val="22"/>
              </w:rPr>
              <w:t>Add fields for describing attitude ephemeris accuracy / residuals. It also may make sense to globally specify the machine precision.</w:t>
            </w:r>
          </w:p>
        </w:tc>
        <w:tc>
          <w:tcPr>
            <w:tcW w:w="1665" w:type="dxa"/>
          </w:tcPr>
          <w:p w14:paraId="6F75D0C6" w14:textId="77777777" w:rsidR="00FD7591" w:rsidRPr="00C635BB" w:rsidRDefault="00FD7591"/>
        </w:tc>
      </w:tr>
      <w:tr w:rsidR="00FD7591" w:rsidRPr="00C635BB" w14:paraId="02EC0839" w14:textId="77777777" w:rsidTr="00440FA2">
        <w:trPr>
          <w:jc w:val="center"/>
        </w:trPr>
        <w:tc>
          <w:tcPr>
            <w:tcW w:w="738" w:type="dxa"/>
          </w:tcPr>
          <w:p w14:paraId="720875EC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A0D977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D7591" w:rsidRPr="00C635BB" w:rsidRDefault="00FD759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F18172D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A3E13A2" w14:textId="77777777" w:rsidR="00FD7591" w:rsidRPr="00D054C5" w:rsidRDefault="00FD759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665" w:type="dxa"/>
          </w:tcPr>
          <w:p w14:paraId="0A83F21D" w14:textId="77777777" w:rsidR="00FD7591" w:rsidRPr="00C635BB" w:rsidRDefault="00FD7591"/>
        </w:tc>
      </w:tr>
      <w:tr w:rsidR="00FD7591" w:rsidRPr="00C635BB" w14:paraId="38CAEE25" w14:textId="77777777" w:rsidTr="00440FA2">
        <w:trPr>
          <w:jc w:val="center"/>
        </w:trPr>
        <w:tc>
          <w:tcPr>
            <w:tcW w:w="738" w:type="dxa"/>
          </w:tcPr>
          <w:p w14:paraId="184DC316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41E6F3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D7591" w:rsidRPr="00C635BB" w:rsidRDefault="00FD759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72497A0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1D9C1EB" w14:textId="77777777" w:rsidR="00FD7591" w:rsidRPr="00D054C5" w:rsidRDefault="00FD759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665" w:type="dxa"/>
          </w:tcPr>
          <w:p w14:paraId="79F14AAE" w14:textId="77777777" w:rsidR="00FD7591" w:rsidRPr="00C635BB" w:rsidRDefault="00FD7591"/>
        </w:tc>
      </w:tr>
      <w:tr w:rsidR="00FD7591" w:rsidRPr="00C635BB" w14:paraId="1FB516AE" w14:textId="77777777" w:rsidTr="00440FA2">
        <w:trPr>
          <w:jc w:val="center"/>
        </w:trPr>
        <w:tc>
          <w:tcPr>
            <w:tcW w:w="738" w:type="dxa"/>
          </w:tcPr>
          <w:p w14:paraId="3DBABB1E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A9480A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D7591" w:rsidRPr="00C635BB" w:rsidRDefault="00FD759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E084879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ED13699" w14:textId="77777777" w:rsidR="00FD7591" w:rsidRPr="00D054C5" w:rsidRDefault="00FD759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665" w:type="dxa"/>
          </w:tcPr>
          <w:p w14:paraId="3B289A52" w14:textId="77777777" w:rsidR="00FD7591" w:rsidRPr="00C635BB" w:rsidRDefault="00FD7591"/>
        </w:tc>
      </w:tr>
      <w:tr w:rsidR="00FD7591" w:rsidRPr="00C635BB" w14:paraId="3A999A75" w14:textId="77777777" w:rsidTr="00440FA2">
        <w:trPr>
          <w:jc w:val="center"/>
        </w:trPr>
        <w:tc>
          <w:tcPr>
            <w:tcW w:w="738" w:type="dxa"/>
          </w:tcPr>
          <w:p w14:paraId="7671565E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0B3879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D7591" w:rsidRPr="00C635BB" w:rsidRDefault="00FD759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59E2701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F4B12B4" w14:textId="77777777" w:rsidR="00FD7591" w:rsidRPr="00D054C5" w:rsidRDefault="00FD759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665" w:type="dxa"/>
          </w:tcPr>
          <w:p w14:paraId="4E1945DA" w14:textId="77777777" w:rsidR="00FD7591" w:rsidRPr="00C635BB" w:rsidRDefault="00FD7591"/>
        </w:tc>
      </w:tr>
      <w:tr w:rsidR="00FD7591" w:rsidRPr="00C635BB" w14:paraId="5DF8F04C" w14:textId="77777777" w:rsidTr="00440FA2">
        <w:trPr>
          <w:jc w:val="center"/>
        </w:trPr>
        <w:tc>
          <w:tcPr>
            <w:tcW w:w="738" w:type="dxa"/>
          </w:tcPr>
          <w:p w14:paraId="39FD0F1F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39E2E4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D7591" w:rsidRPr="00C635BB" w:rsidRDefault="00FD759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AC0A405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B612111" w14:textId="77777777" w:rsidR="00FD7591" w:rsidRPr="00D054C5" w:rsidRDefault="00FD759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665" w:type="dxa"/>
          </w:tcPr>
          <w:p w14:paraId="083E6D6F" w14:textId="77777777" w:rsidR="00FD7591" w:rsidRPr="00C635BB" w:rsidRDefault="00FD7591"/>
        </w:tc>
      </w:tr>
      <w:tr w:rsidR="00FD7591" w:rsidRPr="00C635BB" w14:paraId="23982358" w14:textId="77777777" w:rsidTr="00440FA2">
        <w:trPr>
          <w:jc w:val="center"/>
        </w:trPr>
        <w:tc>
          <w:tcPr>
            <w:tcW w:w="738" w:type="dxa"/>
          </w:tcPr>
          <w:p w14:paraId="33C840C3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6956A7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D7591" w:rsidRPr="00C635BB" w:rsidRDefault="00FD759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6A7270E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591F5EA" w14:textId="77777777" w:rsidR="00FD7591" w:rsidRPr="00D054C5" w:rsidRDefault="00FD759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665" w:type="dxa"/>
          </w:tcPr>
          <w:p w14:paraId="6B93E3D4" w14:textId="77777777" w:rsidR="00FD7591" w:rsidRPr="00C635BB" w:rsidRDefault="00FD7591"/>
        </w:tc>
      </w:tr>
      <w:tr w:rsidR="00FD7591" w:rsidRPr="00C635BB" w14:paraId="5C55424C" w14:textId="77777777" w:rsidTr="00440FA2">
        <w:trPr>
          <w:jc w:val="center"/>
        </w:trPr>
        <w:tc>
          <w:tcPr>
            <w:tcW w:w="738" w:type="dxa"/>
          </w:tcPr>
          <w:p w14:paraId="42ECB3FB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C1843F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D7591" w:rsidRPr="00C635BB" w:rsidRDefault="00FD759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EE66F39" w14:textId="77777777" w:rsidR="00FD7591" w:rsidRPr="00C635BB" w:rsidRDefault="00FD759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945B9F1" w14:textId="77777777" w:rsidR="00FD7591" w:rsidRPr="00D054C5" w:rsidRDefault="00FD759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665" w:type="dxa"/>
          </w:tcPr>
          <w:p w14:paraId="62FB4364" w14:textId="77777777" w:rsidR="00FD7591" w:rsidRPr="00C635BB" w:rsidRDefault="00FD7591"/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12"/>
      <w:footerReference w:type="default" r:id="rId13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B7E14" w14:textId="77777777" w:rsidR="00595FAF" w:rsidRDefault="00595FAF">
      <w:r>
        <w:separator/>
      </w:r>
    </w:p>
  </w:endnote>
  <w:endnote w:type="continuationSeparator" w:id="0">
    <w:p w14:paraId="24E950C3" w14:textId="77777777" w:rsidR="00595FAF" w:rsidRDefault="0059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8654" w14:textId="77777777" w:rsidR="008E3BF4" w:rsidRPr="008E3BF4" w:rsidRDefault="008E3BF4" w:rsidP="008E3BF4">
    <w:pPr>
      <w:pStyle w:val="Fuzeile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125CA6" w:rsidRDefault="00125CA6" w:rsidP="008E3BF4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E12B8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9596C" w14:textId="77777777" w:rsidR="00595FAF" w:rsidRDefault="00595FAF">
      <w:r>
        <w:separator/>
      </w:r>
    </w:p>
  </w:footnote>
  <w:footnote w:type="continuationSeparator" w:id="0">
    <w:p w14:paraId="62117F97" w14:textId="77777777" w:rsidR="00595FAF" w:rsidRDefault="00595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EAD66" w14:textId="77777777" w:rsidR="0021604A" w:rsidRPr="0021604A" w:rsidRDefault="00125CA6" w:rsidP="0021604A">
    <w:pPr>
      <w:pStyle w:val="berschrift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21604A" w:rsidRPr="0021604A">
      <w:rPr>
        <w:bCs/>
        <w:color w:val="3366FF"/>
        <w:sz w:val="22"/>
      </w:rPr>
      <w:t>Attitude Data Messages P1.3</w:t>
    </w:r>
  </w:p>
  <w:p w14:paraId="2FABCE12" w14:textId="5BD27855" w:rsidR="00125CA6" w:rsidRDefault="0021604A" w:rsidP="0021604A">
    <w:pPr>
      <w:pStyle w:val="berschrift1"/>
      <w:rPr>
        <w:bCs/>
        <w:color w:val="3366FF"/>
        <w:sz w:val="22"/>
      </w:rPr>
    </w:pPr>
    <w:r>
      <w:rPr>
        <w:bCs/>
        <w:color w:val="3366FF"/>
        <w:sz w:val="22"/>
      </w:rPr>
      <w:t>November</w:t>
    </w:r>
    <w:r w:rsidRPr="0021604A">
      <w:rPr>
        <w:bCs/>
        <w:color w:val="3366FF"/>
        <w:sz w:val="22"/>
      </w:rPr>
      <w:t xml:space="preserve"> 2</w:t>
    </w:r>
    <w:r>
      <w:rPr>
        <w:bCs/>
        <w:color w:val="3366FF"/>
        <w:sz w:val="22"/>
      </w:rPr>
      <w:t>3</w:t>
    </w:r>
    <w:r w:rsidRPr="0021604A">
      <w:rPr>
        <w:bCs/>
        <w:color w:val="3366FF"/>
        <w:sz w:val="22"/>
      </w:rPr>
      <w:t>, 2016</w:t>
    </w:r>
  </w:p>
  <w:p w14:paraId="3F82E198" w14:textId="77777777" w:rsidR="00125CA6" w:rsidRDefault="00125C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621A2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9E"/>
    <w:rsid w:val="000010F3"/>
    <w:rsid w:val="00020B78"/>
    <w:rsid w:val="000301F9"/>
    <w:rsid w:val="00042304"/>
    <w:rsid w:val="0005734C"/>
    <w:rsid w:val="00063A48"/>
    <w:rsid w:val="0007353C"/>
    <w:rsid w:val="000745CD"/>
    <w:rsid w:val="00085BEB"/>
    <w:rsid w:val="00087CEE"/>
    <w:rsid w:val="00087F44"/>
    <w:rsid w:val="00091B25"/>
    <w:rsid w:val="0009375D"/>
    <w:rsid w:val="00094BE6"/>
    <w:rsid w:val="000A565E"/>
    <w:rsid w:val="000B39E3"/>
    <w:rsid w:val="000C59B6"/>
    <w:rsid w:val="000D43C6"/>
    <w:rsid w:val="000E7262"/>
    <w:rsid w:val="000F4489"/>
    <w:rsid w:val="00105D5B"/>
    <w:rsid w:val="00121FF0"/>
    <w:rsid w:val="00125CA6"/>
    <w:rsid w:val="001434A7"/>
    <w:rsid w:val="00171F07"/>
    <w:rsid w:val="0019459B"/>
    <w:rsid w:val="001A2616"/>
    <w:rsid w:val="001A2870"/>
    <w:rsid w:val="001A2CB4"/>
    <w:rsid w:val="001B35D7"/>
    <w:rsid w:val="001B6E79"/>
    <w:rsid w:val="001B71E7"/>
    <w:rsid w:val="001C0CE8"/>
    <w:rsid w:val="001C36A0"/>
    <w:rsid w:val="001D0241"/>
    <w:rsid w:val="001F5D6C"/>
    <w:rsid w:val="0021604A"/>
    <w:rsid w:val="00222BD5"/>
    <w:rsid w:val="00236F76"/>
    <w:rsid w:val="00255857"/>
    <w:rsid w:val="0025666A"/>
    <w:rsid w:val="002652FB"/>
    <w:rsid w:val="00282704"/>
    <w:rsid w:val="002833D8"/>
    <w:rsid w:val="00283514"/>
    <w:rsid w:val="002843FD"/>
    <w:rsid w:val="00291AC4"/>
    <w:rsid w:val="002B0F8E"/>
    <w:rsid w:val="002B2CCC"/>
    <w:rsid w:val="002D15A7"/>
    <w:rsid w:val="002D751F"/>
    <w:rsid w:val="00315153"/>
    <w:rsid w:val="00333F63"/>
    <w:rsid w:val="003446F4"/>
    <w:rsid w:val="00364592"/>
    <w:rsid w:val="003737CF"/>
    <w:rsid w:val="00395B53"/>
    <w:rsid w:val="003A5234"/>
    <w:rsid w:val="003C119B"/>
    <w:rsid w:val="003C4F72"/>
    <w:rsid w:val="003D5E49"/>
    <w:rsid w:val="003F073E"/>
    <w:rsid w:val="004004B4"/>
    <w:rsid w:val="00431EC2"/>
    <w:rsid w:val="00440FA2"/>
    <w:rsid w:val="00445953"/>
    <w:rsid w:val="004627B6"/>
    <w:rsid w:val="00482FA8"/>
    <w:rsid w:val="004A29BE"/>
    <w:rsid w:val="004B5B7C"/>
    <w:rsid w:val="004C1B5C"/>
    <w:rsid w:val="004D5E47"/>
    <w:rsid w:val="004E39DA"/>
    <w:rsid w:val="004F1D54"/>
    <w:rsid w:val="0050215B"/>
    <w:rsid w:val="00511940"/>
    <w:rsid w:val="0051693F"/>
    <w:rsid w:val="00520829"/>
    <w:rsid w:val="00527573"/>
    <w:rsid w:val="00541DFE"/>
    <w:rsid w:val="00544A9E"/>
    <w:rsid w:val="00572870"/>
    <w:rsid w:val="00586B5C"/>
    <w:rsid w:val="005875E4"/>
    <w:rsid w:val="00595FAF"/>
    <w:rsid w:val="005A0767"/>
    <w:rsid w:val="005A3709"/>
    <w:rsid w:val="00616C1E"/>
    <w:rsid w:val="00627BA5"/>
    <w:rsid w:val="0064117A"/>
    <w:rsid w:val="006869D8"/>
    <w:rsid w:val="006A3A3E"/>
    <w:rsid w:val="006A77EB"/>
    <w:rsid w:val="006C3CBF"/>
    <w:rsid w:val="006C6053"/>
    <w:rsid w:val="006E12B8"/>
    <w:rsid w:val="006E1633"/>
    <w:rsid w:val="006F29A9"/>
    <w:rsid w:val="0071029D"/>
    <w:rsid w:val="0071553B"/>
    <w:rsid w:val="00734E5A"/>
    <w:rsid w:val="00736823"/>
    <w:rsid w:val="007547D7"/>
    <w:rsid w:val="00781F62"/>
    <w:rsid w:val="00782FA7"/>
    <w:rsid w:val="007831EF"/>
    <w:rsid w:val="007978DA"/>
    <w:rsid w:val="007A0F77"/>
    <w:rsid w:val="007B1BB8"/>
    <w:rsid w:val="007C6087"/>
    <w:rsid w:val="007C7EB0"/>
    <w:rsid w:val="007D5F14"/>
    <w:rsid w:val="007E3D4D"/>
    <w:rsid w:val="007E3E95"/>
    <w:rsid w:val="007F347A"/>
    <w:rsid w:val="008146CB"/>
    <w:rsid w:val="00836C5A"/>
    <w:rsid w:val="00850C33"/>
    <w:rsid w:val="00873F54"/>
    <w:rsid w:val="00882184"/>
    <w:rsid w:val="008A4829"/>
    <w:rsid w:val="008B0621"/>
    <w:rsid w:val="008C1A14"/>
    <w:rsid w:val="008C4E3B"/>
    <w:rsid w:val="008D4F72"/>
    <w:rsid w:val="008E3BF4"/>
    <w:rsid w:val="008E53A1"/>
    <w:rsid w:val="009211F9"/>
    <w:rsid w:val="00931209"/>
    <w:rsid w:val="00937CD6"/>
    <w:rsid w:val="00946900"/>
    <w:rsid w:val="00972D47"/>
    <w:rsid w:val="00977D23"/>
    <w:rsid w:val="00982BC0"/>
    <w:rsid w:val="0098780C"/>
    <w:rsid w:val="009B3DB9"/>
    <w:rsid w:val="009C501A"/>
    <w:rsid w:val="009C6213"/>
    <w:rsid w:val="00A169D7"/>
    <w:rsid w:val="00A40EE8"/>
    <w:rsid w:val="00A568D6"/>
    <w:rsid w:val="00AB1049"/>
    <w:rsid w:val="00AE2BD5"/>
    <w:rsid w:val="00B02B5E"/>
    <w:rsid w:val="00B05C87"/>
    <w:rsid w:val="00B114BD"/>
    <w:rsid w:val="00B214AB"/>
    <w:rsid w:val="00B27F58"/>
    <w:rsid w:val="00B311FC"/>
    <w:rsid w:val="00B32D45"/>
    <w:rsid w:val="00B41255"/>
    <w:rsid w:val="00B44A35"/>
    <w:rsid w:val="00B5175C"/>
    <w:rsid w:val="00B56FC1"/>
    <w:rsid w:val="00B75213"/>
    <w:rsid w:val="00B83A74"/>
    <w:rsid w:val="00B87573"/>
    <w:rsid w:val="00BF1A22"/>
    <w:rsid w:val="00BF2F80"/>
    <w:rsid w:val="00C03101"/>
    <w:rsid w:val="00C22399"/>
    <w:rsid w:val="00C37A38"/>
    <w:rsid w:val="00C46C04"/>
    <w:rsid w:val="00C509B5"/>
    <w:rsid w:val="00C6158B"/>
    <w:rsid w:val="00C635BB"/>
    <w:rsid w:val="00C66985"/>
    <w:rsid w:val="00C8123D"/>
    <w:rsid w:val="00C860E2"/>
    <w:rsid w:val="00CA0259"/>
    <w:rsid w:val="00CA6366"/>
    <w:rsid w:val="00CC1355"/>
    <w:rsid w:val="00CC348E"/>
    <w:rsid w:val="00D054C5"/>
    <w:rsid w:val="00D16072"/>
    <w:rsid w:val="00D37CA6"/>
    <w:rsid w:val="00D4548A"/>
    <w:rsid w:val="00D56059"/>
    <w:rsid w:val="00D57A6C"/>
    <w:rsid w:val="00D70CBD"/>
    <w:rsid w:val="00D7373F"/>
    <w:rsid w:val="00D743D2"/>
    <w:rsid w:val="00D8107F"/>
    <w:rsid w:val="00D83D7D"/>
    <w:rsid w:val="00D84940"/>
    <w:rsid w:val="00D918BB"/>
    <w:rsid w:val="00DB279E"/>
    <w:rsid w:val="00DB6147"/>
    <w:rsid w:val="00DC1550"/>
    <w:rsid w:val="00DD399C"/>
    <w:rsid w:val="00DD474C"/>
    <w:rsid w:val="00DD7FF2"/>
    <w:rsid w:val="00DE278E"/>
    <w:rsid w:val="00DF36FF"/>
    <w:rsid w:val="00E23B23"/>
    <w:rsid w:val="00E5246A"/>
    <w:rsid w:val="00E71CF7"/>
    <w:rsid w:val="00E748CC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5012A"/>
    <w:rsid w:val="00F50703"/>
    <w:rsid w:val="00F60755"/>
    <w:rsid w:val="00F77419"/>
    <w:rsid w:val="00F808FA"/>
    <w:rsid w:val="00FA16C2"/>
    <w:rsid w:val="00FD196C"/>
    <w:rsid w:val="00FD2DB8"/>
    <w:rsid w:val="00F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C6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049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AB1049"/>
    <w:pPr>
      <w:keepNext/>
      <w:jc w:val="center"/>
      <w:outlineLvl w:val="1"/>
    </w:pPr>
    <w:rPr>
      <w:b/>
    </w:rPr>
  </w:style>
  <w:style w:type="paragraph" w:styleId="berschrift3">
    <w:name w:val="heading 3"/>
    <w:basedOn w:val="berschrift2"/>
    <w:next w:val="Standard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berschrift4">
    <w:name w:val="heading 4"/>
    <w:basedOn w:val="Standard"/>
    <w:next w:val="Standard"/>
    <w:qFormat/>
    <w:rsid w:val="00AB1049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AB1049"/>
  </w:style>
  <w:style w:type="character" w:styleId="Kommentarzeichen">
    <w:name w:val="annotation reference"/>
    <w:basedOn w:val="Absatz-Standardschriftart"/>
    <w:semiHidden/>
    <w:rsid w:val="00AB1049"/>
    <w:rPr>
      <w:sz w:val="16"/>
    </w:rPr>
  </w:style>
  <w:style w:type="paragraph" w:styleId="Textkrper">
    <w:name w:val="Body Text"/>
    <w:basedOn w:val="Standard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Standard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Kopfzeile">
    <w:name w:val="header"/>
    <w:basedOn w:val="Standard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uzeile">
    <w:name w:val="footer"/>
    <w:basedOn w:val="Standard"/>
    <w:semiHidden/>
    <w:rsid w:val="00AB1049"/>
    <w:pPr>
      <w:tabs>
        <w:tab w:val="center" w:pos="7200"/>
        <w:tab w:val="right" w:pos="14400"/>
      </w:tabs>
    </w:pPr>
  </w:style>
  <w:style w:type="character" w:styleId="Seitenzahl">
    <w:name w:val="page number"/>
    <w:basedOn w:val="Absatz-Standardschriftart"/>
    <w:semiHidden/>
    <w:rsid w:val="00AB1049"/>
  </w:style>
  <w:style w:type="paragraph" w:styleId="Textkrper2">
    <w:name w:val="Body Text 2"/>
    <w:basedOn w:val="Standard"/>
    <w:semiHidden/>
    <w:rsid w:val="00AB1049"/>
  </w:style>
  <w:style w:type="paragraph" w:styleId="Textkrper3">
    <w:name w:val="Body Text 3"/>
    <w:basedOn w:val="Standard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Textkrper-Zeileneinzug">
    <w:name w:val="Body Text Indent"/>
    <w:basedOn w:val="Standard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Aufzhlungszeichen">
    <w:name w:val="List Bullet"/>
    <w:basedOn w:val="Standard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Textkrper-Einzug2">
    <w:name w:val="Body Text Indent 2"/>
    <w:basedOn w:val="Standard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el">
    <w:name w:val="Title"/>
    <w:aliases w:val="Tables"/>
    <w:basedOn w:val="Standard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StandardWeb">
    <w:name w:val="Normal (Web)"/>
    <w:basedOn w:val="Standard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Standard"/>
    <w:rsid w:val="004004B4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1C0CE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049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AB1049"/>
    <w:pPr>
      <w:keepNext/>
      <w:jc w:val="center"/>
      <w:outlineLvl w:val="1"/>
    </w:pPr>
    <w:rPr>
      <w:b/>
    </w:rPr>
  </w:style>
  <w:style w:type="paragraph" w:styleId="berschrift3">
    <w:name w:val="heading 3"/>
    <w:basedOn w:val="berschrift2"/>
    <w:next w:val="Standard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berschrift4">
    <w:name w:val="heading 4"/>
    <w:basedOn w:val="Standard"/>
    <w:next w:val="Standard"/>
    <w:qFormat/>
    <w:rsid w:val="00AB1049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AB1049"/>
  </w:style>
  <w:style w:type="character" w:styleId="Kommentarzeichen">
    <w:name w:val="annotation reference"/>
    <w:basedOn w:val="Absatz-Standardschriftart"/>
    <w:semiHidden/>
    <w:rsid w:val="00AB1049"/>
    <w:rPr>
      <w:sz w:val="16"/>
    </w:rPr>
  </w:style>
  <w:style w:type="paragraph" w:styleId="Textkrper">
    <w:name w:val="Body Text"/>
    <w:basedOn w:val="Standard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Standard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Kopfzeile">
    <w:name w:val="header"/>
    <w:basedOn w:val="Standard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uzeile">
    <w:name w:val="footer"/>
    <w:basedOn w:val="Standard"/>
    <w:semiHidden/>
    <w:rsid w:val="00AB1049"/>
    <w:pPr>
      <w:tabs>
        <w:tab w:val="center" w:pos="7200"/>
        <w:tab w:val="right" w:pos="14400"/>
      </w:tabs>
    </w:pPr>
  </w:style>
  <w:style w:type="character" w:styleId="Seitenzahl">
    <w:name w:val="page number"/>
    <w:basedOn w:val="Absatz-Standardschriftart"/>
    <w:semiHidden/>
    <w:rsid w:val="00AB1049"/>
  </w:style>
  <w:style w:type="paragraph" w:styleId="Textkrper2">
    <w:name w:val="Body Text 2"/>
    <w:basedOn w:val="Standard"/>
    <w:semiHidden/>
    <w:rsid w:val="00AB1049"/>
  </w:style>
  <w:style w:type="paragraph" w:styleId="Textkrper3">
    <w:name w:val="Body Text 3"/>
    <w:basedOn w:val="Standard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Textkrper-Zeileneinzug">
    <w:name w:val="Body Text Indent"/>
    <w:basedOn w:val="Standard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Aufzhlungszeichen">
    <w:name w:val="List Bullet"/>
    <w:basedOn w:val="Standard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Textkrper-Einzug2">
    <w:name w:val="Body Text Indent 2"/>
    <w:basedOn w:val="Standard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el">
    <w:name w:val="Title"/>
    <w:aliases w:val="Tables"/>
    <w:basedOn w:val="Standard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StandardWeb">
    <w:name w:val="Normal (Web)"/>
    <w:basedOn w:val="Standard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Standard"/>
    <w:rsid w:val="004004B4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1C0CE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6BAC-7C0C-40C8-A310-131BC19FE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4C211E-6AFB-4799-8E10-8441E3FE8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8F04F-75B1-4380-93A0-A5752C19F5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4FFA3E-9E29-45E9-82AA-F84611AF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AMS S-PLAN COMMENT RESOLUTION MATRIX</vt:lpstr>
      <vt:lpstr>AMS S-PLAN COMMENT RESOLUTION MATRIX</vt:lpstr>
    </vt:vector>
  </TitlesOfParts>
  <Company>Titan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Kahle, Ralph</cp:lastModifiedBy>
  <cp:revision>2</cp:revision>
  <cp:lastPrinted>2003-02-28T21:24:00Z</cp:lastPrinted>
  <dcterms:created xsi:type="dcterms:W3CDTF">2016-11-23T08:58:00Z</dcterms:created>
  <dcterms:modified xsi:type="dcterms:W3CDTF">2016-11-23T08:58:00Z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