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900"/>
        <w:gridCol w:w="630"/>
        <w:gridCol w:w="630"/>
        <w:gridCol w:w="720"/>
        <w:gridCol w:w="3870"/>
        <w:gridCol w:w="1811"/>
        <w:gridCol w:w="3769"/>
        <w:gridCol w:w="1946"/>
      </w:tblGrid>
      <w:tr w:rsidR="00A9409E" w:rsidRPr="00C635BB" w14:paraId="44F1A1AF" w14:textId="77777777" w:rsidTr="008D1374">
        <w:trPr>
          <w:tblHeader/>
          <w:jc w:val="center"/>
        </w:trPr>
        <w:tc>
          <w:tcPr>
            <w:tcW w:w="668" w:type="dxa"/>
            <w:vAlign w:val="center"/>
          </w:tcPr>
          <w:p w14:paraId="0906EB6F" w14:textId="623635F5" w:rsidR="00A9409E" w:rsidRPr="000630F7" w:rsidRDefault="00A9409E" w:rsidP="00797113">
            <w:pPr>
              <w:jc w:val="center"/>
              <w:rPr>
                <w:rFonts w:cs="Arial"/>
              </w:rPr>
            </w:pPr>
            <w:proofErr w:type="spellStart"/>
            <w:r w:rsidRPr="000630F7">
              <w:rPr>
                <w:b/>
                <w:bCs/>
                <w:color w:val="0000FF"/>
              </w:rPr>
              <w:t>P</w:t>
            </w:r>
            <w:r w:rsidR="003276A9" w:rsidRPr="000630F7">
              <w:rPr>
                <w:b/>
                <w:bCs/>
                <w:color w:val="0000FF"/>
              </w:rPr>
              <w:t>g</w:t>
            </w:r>
            <w:proofErr w:type="spellEnd"/>
          </w:p>
        </w:tc>
        <w:tc>
          <w:tcPr>
            <w:tcW w:w="900" w:type="dxa"/>
            <w:vAlign w:val="center"/>
          </w:tcPr>
          <w:p w14:paraId="6982A5F6" w14:textId="18650040" w:rsidR="00A9409E" w:rsidRPr="000630F7" w:rsidRDefault="00A9409E" w:rsidP="00797113">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797113">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797113">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797113">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797113">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797113">
            <w:pPr>
              <w:jc w:val="center"/>
              <w:rPr>
                <w:rFonts w:cs="Arial"/>
              </w:rPr>
            </w:pPr>
            <w:r w:rsidRPr="000630F7">
              <w:rPr>
                <w:b/>
                <w:bCs/>
                <w:color w:val="0000FF"/>
              </w:rPr>
              <w:t xml:space="preserve">Reviewer </w:t>
            </w:r>
            <w:r w:rsidR="00A9409E" w:rsidRPr="000630F7">
              <w:rPr>
                <w:b/>
                <w:bCs/>
                <w:color w:val="0000FF"/>
              </w:rPr>
              <w:t>(Name/Agency)</w:t>
            </w:r>
          </w:p>
        </w:tc>
        <w:tc>
          <w:tcPr>
            <w:tcW w:w="3769" w:type="dxa"/>
            <w:vAlign w:val="center"/>
          </w:tcPr>
          <w:p w14:paraId="7281D1FF" w14:textId="0F79AF85" w:rsidR="00A9409E" w:rsidRPr="000630F7" w:rsidRDefault="00A9409E" w:rsidP="00797113">
            <w:pPr>
              <w:jc w:val="center"/>
            </w:pPr>
            <w:r w:rsidRPr="000630F7">
              <w:rPr>
                <w:b/>
                <w:bCs/>
                <w:color w:val="0000FF"/>
              </w:rPr>
              <w:t>Suggested Disposition</w:t>
            </w:r>
          </w:p>
        </w:tc>
        <w:tc>
          <w:tcPr>
            <w:tcW w:w="1946" w:type="dxa"/>
            <w:vAlign w:val="center"/>
          </w:tcPr>
          <w:p w14:paraId="5BD0E52C" w14:textId="77777777" w:rsidR="00A9409E" w:rsidRPr="000630F7" w:rsidRDefault="00A9409E" w:rsidP="00797113">
            <w:pPr>
              <w:jc w:val="center"/>
              <w:rPr>
                <w:b/>
                <w:bCs/>
                <w:color w:val="0000FF"/>
              </w:rPr>
            </w:pPr>
            <w:r w:rsidRPr="000630F7">
              <w:rPr>
                <w:b/>
                <w:bCs/>
                <w:color w:val="0000FF"/>
              </w:rPr>
              <w:t>Final Disposition</w:t>
            </w:r>
          </w:p>
          <w:p w14:paraId="79622350" w14:textId="77F4AB70" w:rsidR="00A9409E" w:rsidRPr="000630F7" w:rsidRDefault="00A9409E" w:rsidP="00797113">
            <w:pPr>
              <w:jc w:val="center"/>
            </w:pPr>
            <w:r w:rsidRPr="000630F7">
              <w:rPr>
                <w:b/>
                <w:bCs/>
                <w:color w:val="0000FF"/>
              </w:rPr>
              <w:t>(</w:t>
            </w:r>
            <w:r w:rsidRPr="000630F7">
              <w:rPr>
                <w:b/>
                <w:bCs/>
                <w:color w:val="0000FF"/>
                <w:u w:val="single"/>
              </w:rPr>
              <w:t>Do Not Fill In</w:t>
            </w:r>
            <w:r w:rsidRPr="000630F7">
              <w:rPr>
                <w:b/>
                <w:bCs/>
                <w:color w:val="0000FF"/>
              </w:rPr>
              <w:t>)</w:t>
            </w:r>
          </w:p>
        </w:tc>
      </w:tr>
      <w:tr w:rsidR="00F564BF" w:rsidRPr="00F564BF" w14:paraId="6DD348C5" w14:textId="77777777" w:rsidTr="008D1374">
        <w:trPr>
          <w:jc w:val="center"/>
        </w:trPr>
        <w:tc>
          <w:tcPr>
            <w:tcW w:w="668" w:type="dxa"/>
            <w:shd w:val="clear" w:color="auto" w:fill="auto"/>
          </w:tcPr>
          <w:p w14:paraId="4B9869E9" w14:textId="6BE376EE" w:rsidR="00696555" w:rsidRPr="00F564BF" w:rsidRDefault="00C36EDC" w:rsidP="00797113">
            <w:pPr>
              <w:rPr>
                <w:rFonts w:cs="Arial"/>
              </w:rPr>
            </w:pPr>
            <w:r w:rsidRPr="00F564BF">
              <w:rPr>
                <w:rFonts w:cs="Arial"/>
              </w:rPr>
              <w:t>3-10</w:t>
            </w:r>
          </w:p>
        </w:tc>
        <w:tc>
          <w:tcPr>
            <w:tcW w:w="900" w:type="dxa"/>
            <w:shd w:val="clear" w:color="auto" w:fill="auto"/>
          </w:tcPr>
          <w:p w14:paraId="3D442DAA" w14:textId="105687C4" w:rsidR="00696555" w:rsidRPr="00F564BF" w:rsidRDefault="00C36EDC" w:rsidP="00797113">
            <w:pPr>
              <w:rPr>
                <w:rFonts w:cs="Arial"/>
              </w:rPr>
            </w:pPr>
            <w:r w:rsidRPr="00F564BF">
              <w:rPr>
                <w:rFonts w:cs="Arial"/>
              </w:rPr>
              <w:t>3.2</w:t>
            </w:r>
          </w:p>
        </w:tc>
        <w:tc>
          <w:tcPr>
            <w:tcW w:w="630" w:type="dxa"/>
            <w:shd w:val="clear" w:color="auto" w:fill="auto"/>
          </w:tcPr>
          <w:p w14:paraId="7B98A148" w14:textId="62A3350E" w:rsidR="00696555" w:rsidRPr="00F564BF" w:rsidRDefault="00C36EDC" w:rsidP="00797113">
            <w:pPr>
              <w:rPr>
                <w:rFonts w:cs="Arial"/>
              </w:rPr>
            </w:pPr>
            <w:r w:rsidRPr="00F564BF">
              <w:rPr>
                <w:rFonts w:cs="Arial"/>
              </w:rPr>
              <w:t>2</w:t>
            </w:r>
          </w:p>
        </w:tc>
        <w:tc>
          <w:tcPr>
            <w:tcW w:w="630" w:type="dxa"/>
            <w:shd w:val="clear" w:color="auto" w:fill="auto"/>
          </w:tcPr>
          <w:p w14:paraId="29702EC9" w14:textId="2A374589" w:rsidR="00696555" w:rsidRPr="00F564BF" w:rsidRDefault="00C36EDC" w:rsidP="00797113">
            <w:pPr>
              <w:rPr>
                <w:rFonts w:cs="Arial"/>
              </w:rPr>
            </w:pPr>
            <w:r w:rsidRPr="00F564BF">
              <w:rPr>
                <w:rFonts w:cs="Arial"/>
              </w:rPr>
              <w:t>4</w:t>
            </w:r>
          </w:p>
        </w:tc>
        <w:tc>
          <w:tcPr>
            <w:tcW w:w="720" w:type="dxa"/>
            <w:tcBorders>
              <w:right w:val="single" w:sz="4" w:space="0" w:color="auto"/>
            </w:tcBorders>
            <w:shd w:val="clear" w:color="auto" w:fill="auto"/>
          </w:tcPr>
          <w:p w14:paraId="4FBF9096" w14:textId="2D684C40" w:rsidR="00696555" w:rsidRPr="00F564BF" w:rsidRDefault="00C36EDC" w:rsidP="00797113">
            <w:pPr>
              <w:rPr>
                <w:rFonts w:cs="Arial"/>
              </w:rPr>
            </w:pPr>
            <w:proofErr w:type="spellStart"/>
            <w:r w:rsidRPr="00F564BF">
              <w:rPr>
                <w:rFonts w:cs="Arial"/>
              </w:rPr>
              <w:t>ed</w:t>
            </w:r>
            <w:proofErr w:type="spellEnd"/>
            <w:r w:rsidRPr="00F564BF">
              <w:rPr>
                <w:rFonts w:cs="Arial"/>
              </w:rPr>
              <w:t xml:space="preserve">, </w:t>
            </w:r>
            <w:proofErr w:type="spellStart"/>
            <w:r w:rsidRPr="00F564BF">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31AB3D8" w14:textId="7D6B1EFC" w:rsidR="00696555" w:rsidRPr="00F564BF" w:rsidRDefault="00C36EDC" w:rsidP="00C36EDC">
            <w:pPr>
              <w:rPr>
                <w:rFonts w:cs="Arial"/>
              </w:rPr>
            </w:pPr>
            <w:r w:rsidRPr="00F564BF">
              <w:rPr>
                <w:rFonts w:cs="Arial"/>
              </w:rPr>
              <w:t xml:space="preserve">The wording in the note is supposed to indicate that processed data as well as raw data.  This is properly included in the NOTE but it might be better to add an explicit statement. </w:t>
            </w:r>
          </w:p>
        </w:tc>
        <w:tc>
          <w:tcPr>
            <w:tcW w:w="1811" w:type="dxa"/>
            <w:tcBorders>
              <w:left w:val="single" w:sz="4" w:space="0" w:color="auto"/>
            </w:tcBorders>
            <w:shd w:val="clear" w:color="auto" w:fill="auto"/>
          </w:tcPr>
          <w:p w14:paraId="327227C8" w14:textId="36578D05" w:rsidR="00696555" w:rsidRPr="00F564BF" w:rsidRDefault="00C36EDC" w:rsidP="00797113">
            <w:pPr>
              <w:rPr>
                <w:rFonts w:cs="Arial"/>
              </w:rPr>
            </w:pPr>
            <w:proofErr w:type="spellStart"/>
            <w:r w:rsidRPr="00F564BF">
              <w:rPr>
                <w:rFonts w:cs="Arial"/>
              </w:rPr>
              <w:t>J.Hashmall</w:t>
            </w:r>
            <w:proofErr w:type="spellEnd"/>
            <w:r w:rsidRPr="00F564BF">
              <w:rPr>
                <w:rFonts w:cs="Arial"/>
              </w:rPr>
              <w:t>/NASA/GSFC</w:t>
            </w:r>
          </w:p>
        </w:tc>
        <w:tc>
          <w:tcPr>
            <w:tcW w:w="3769" w:type="dxa"/>
            <w:shd w:val="clear" w:color="auto" w:fill="auto"/>
          </w:tcPr>
          <w:p w14:paraId="37902643" w14:textId="77777777" w:rsidR="00C36EDC" w:rsidRPr="00F564BF" w:rsidRDefault="00C36EDC" w:rsidP="00C36EDC">
            <w:r w:rsidRPr="00F564BF">
              <w:t>Consider the following change:</w:t>
            </w:r>
          </w:p>
          <w:p w14:paraId="6293201B" w14:textId="77777777" w:rsidR="00D9640F" w:rsidRPr="00F564BF" w:rsidRDefault="00C36EDC" w:rsidP="00C36EDC">
            <w:r w:rsidRPr="00F564BF">
              <w:t>From “Any piece of information can be treated …”</w:t>
            </w:r>
          </w:p>
          <w:p w14:paraId="606CF3FB" w14:textId="56A48064" w:rsidR="003E30E6" w:rsidRPr="00F564BF" w:rsidRDefault="00C36EDC" w:rsidP="00C36EDC">
            <w:r w:rsidRPr="00F564BF">
              <w:t>To “Any piece of information (including processed data”) can be treated …”</w:t>
            </w:r>
          </w:p>
        </w:tc>
        <w:tc>
          <w:tcPr>
            <w:tcW w:w="1946" w:type="dxa"/>
            <w:shd w:val="clear" w:color="auto" w:fill="auto"/>
          </w:tcPr>
          <w:p w14:paraId="4ED8CA3C" w14:textId="3A133D77" w:rsidR="00696555" w:rsidRPr="00F564BF" w:rsidRDefault="004D703D" w:rsidP="00797113">
            <w:r w:rsidRPr="00F564BF">
              <w:rPr>
                <w:b/>
              </w:rPr>
              <w:t xml:space="preserve">Rejected. </w:t>
            </w:r>
            <w:r w:rsidRPr="00F564BF">
              <w:t>Any type of information includes raw and processed data.</w:t>
            </w:r>
          </w:p>
        </w:tc>
      </w:tr>
      <w:tr w:rsidR="003C583A" w:rsidRPr="00C635BB" w14:paraId="23FD6DC0" w14:textId="77777777" w:rsidTr="008D1374">
        <w:trPr>
          <w:jc w:val="center"/>
        </w:trPr>
        <w:tc>
          <w:tcPr>
            <w:tcW w:w="668" w:type="dxa"/>
          </w:tcPr>
          <w:p w14:paraId="4055DBB4" w14:textId="4C682196" w:rsidR="003C583A" w:rsidRDefault="003C583A" w:rsidP="00797113">
            <w:pPr>
              <w:rPr>
                <w:rFonts w:cs="Arial"/>
              </w:rPr>
            </w:pPr>
            <w:r>
              <w:rPr>
                <w:rFonts w:cs="Arial"/>
              </w:rPr>
              <w:t>3-11</w:t>
            </w:r>
          </w:p>
        </w:tc>
        <w:tc>
          <w:tcPr>
            <w:tcW w:w="900" w:type="dxa"/>
          </w:tcPr>
          <w:p w14:paraId="38DA54F8" w14:textId="51DD523B" w:rsidR="003C583A" w:rsidRDefault="003C583A" w:rsidP="00797113">
            <w:pPr>
              <w:rPr>
                <w:rFonts w:cs="Arial"/>
              </w:rPr>
            </w:pPr>
            <w:r>
              <w:rPr>
                <w:rFonts w:cs="Arial"/>
              </w:rPr>
              <w:t>3.2</w:t>
            </w:r>
          </w:p>
        </w:tc>
        <w:tc>
          <w:tcPr>
            <w:tcW w:w="630" w:type="dxa"/>
          </w:tcPr>
          <w:p w14:paraId="2AFA79FF" w14:textId="32A87A00" w:rsidR="003C583A" w:rsidRDefault="003C583A" w:rsidP="00797113">
            <w:pPr>
              <w:rPr>
                <w:rFonts w:cs="Arial"/>
              </w:rPr>
            </w:pPr>
            <w:r>
              <w:rPr>
                <w:rFonts w:cs="Arial"/>
              </w:rPr>
              <w:t>3</w:t>
            </w:r>
          </w:p>
        </w:tc>
        <w:tc>
          <w:tcPr>
            <w:tcW w:w="630" w:type="dxa"/>
          </w:tcPr>
          <w:p w14:paraId="6627058C" w14:textId="045D204E" w:rsidR="003C583A" w:rsidRDefault="003C583A" w:rsidP="00797113">
            <w:pPr>
              <w:rPr>
                <w:rFonts w:cs="Arial"/>
              </w:rPr>
            </w:pPr>
            <w:r>
              <w:rPr>
                <w:rFonts w:cs="Arial"/>
              </w:rPr>
              <w:t>5</w:t>
            </w:r>
          </w:p>
        </w:tc>
        <w:tc>
          <w:tcPr>
            <w:tcW w:w="720" w:type="dxa"/>
            <w:tcBorders>
              <w:right w:val="single" w:sz="4" w:space="0" w:color="auto"/>
            </w:tcBorders>
          </w:tcPr>
          <w:p w14:paraId="020CCADE" w14:textId="03ACFCB3" w:rsidR="003C583A" w:rsidRDefault="003C583A" w:rsidP="00797113">
            <w:pPr>
              <w:rPr>
                <w:rFonts w:cs="Arial"/>
              </w:rPr>
            </w:pPr>
            <w:proofErr w:type="spellStart"/>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3FCF558E" w14:textId="38893AD0" w:rsidR="003C583A" w:rsidRDefault="003C583A" w:rsidP="00C36EDC">
            <w:pPr>
              <w:rPr>
                <w:rFonts w:cs="Arial"/>
              </w:rPr>
            </w:pPr>
            <w:r>
              <w:rPr>
                <w:rFonts w:cs="Arial"/>
              </w:rPr>
              <w:t>“Agency Center” should start on a new line</w:t>
            </w:r>
          </w:p>
        </w:tc>
        <w:tc>
          <w:tcPr>
            <w:tcW w:w="1811" w:type="dxa"/>
            <w:tcBorders>
              <w:left w:val="single" w:sz="4" w:space="0" w:color="auto"/>
            </w:tcBorders>
          </w:tcPr>
          <w:p w14:paraId="1011F731" w14:textId="5844FA16" w:rsidR="003C583A" w:rsidRDefault="003C583A" w:rsidP="00797113">
            <w:pPr>
              <w:rPr>
                <w:rFonts w:cs="Arial"/>
              </w:rPr>
            </w:pPr>
            <w:proofErr w:type="spellStart"/>
            <w:r>
              <w:rPr>
                <w:rFonts w:cs="Arial"/>
              </w:rPr>
              <w:t>J.Hashmall</w:t>
            </w:r>
            <w:proofErr w:type="spellEnd"/>
            <w:r>
              <w:rPr>
                <w:rFonts w:cs="Arial"/>
              </w:rPr>
              <w:t>/NASA/GSFC</w:t>
            </w:r>
          </w:p>
        </w:tc>
        <w:tc>
          <w:tcPr>
            <w:tcW w:w="3769" w:type="dxa"/>
          </w:tcPr>
          <w:p w14:paraId="1C44CBAD" w14:textId="693AFCED" w:rsidR="003C583A" w:rsidRDefault="003C583A" w:rsidP="00C36EDC">
            <w:r>
              <w:t>Add carriage return</w:t>
            </w:r>
          </w:p>
        </w:tc>
        <w:tc>
          <w:tcPr>
            <w:tcW w:w="1946" w:type="dxa"/>
          </w:tcPr>
          <w:p w14:paraId="16465A28" w14:textId="01A971EE" w:rsidR="003C583A" w:rsidRPr="00A81CF8" w:rsidRDefault="00A81CF8" w:rsidP="00797113">
            <w:pPr>
              <w:rPr>
                <w:b/>
              </w:rPr>
            </w:pPr>
            <w:r w:rsidRPr="00A81CF8">
              <w:rPr>
                <w:b/>
              </w:rPr>
              <w:t>Accepted.</w:t>
            </w:r>
          </w:p>
        </w:tc>
      </w:tr>
      <w:tr w:rsidR="00306026" w:rsidRPr="00C635BB" w14:paraId="4ED89598" w14:textId="77777777" w:rsidTr="008D1374">
        <w:trPr>
          <w:jc w:val="center"/>
        </w:trPr>
        <w:tc>
          <w:tcPr>
            <w:tcW w:w="668" w:type="dxa"/>
            <w:tcBorders>
              <w:top w:val="single" w:sz="4" w:space="0" w:color="auto"/>
              <w:left w:val="single" w:sz="4" w:space="0" w:color="auto"/>
              <w:bottom w:val="single" w:sz="4" w:space="0" w:color="auto"/>
              <w:right w:val="single" w:sz="4" w:space="0" w:color="auto"/>
            </w:tcBorders>
            <w:shd w:val="clear" w:color="auto" w:fill="F79646" w:themeFill="accent6"/>
          </w:tcPr>
          <w:p w14:paraId="712ABE2D" w14:textId="5EDCD718" w:rsidR="00306026" w:rsidRDefault="00306026" w:rsidP="00306026">
            <w:pPr>
              <w:rPr>
                <w:rFonts w:cs="Arial"/>
              </w:rPr>
            </w:pPr>
            <w:r>
              <w:rPr>
                <w:rFonts w:cs="Arial"/>
              </w:rPr>
              <w:t>3-12 to 3-13</w:t>
            </w:r>
          </w:p>
        </w:tc>
        <w:tc>
          <w:tcPr>
            <w:tcW w:w="900" w:type="dxa"/>
            <w:tcBorders>
              <w:top w:val="single" w:sz="4" w:space="0" w:color="auto"/>
              <w:left w:val="single" w:sz="4" w:space="0" w:color="auto"/>
              <w:bottom w:val="single" w:sz="4" w:space="0" w:color="auto"/>
              <w:right w:val="single" w:sz="4" w:space="0" w:color="auto"/>
            </w:tcBorders>
            <w:shd w:val="clear" w:color="auto" w:fill="F79646" w:themeFill="accent6"/>
          </w:tcPr>
          <w:p w14:paraId="0FCEBF15" w14:textId="5934925A" w:rsidR="00306026" w:rsidRDefault="00306026" w:rsidP="00306026">
            <w:pPr>
              <w:rPr>
                <w:rFonts w:cs="Arial"/>
              </w:rPr>
            </w:pPr>
            <w:r>
              <w:rPr>
                <w:rFonts w:cs="Arial"/>
              </w:rPr>
              <w:t>3.3.1</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14:paraId="0985507D" w14:textId="50DF7058" w:rsidR="00306026" w:rsidRDefault="00306026" w:rsidP="00306026">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14:paraId="5A6D864D" w14:textId="5EF25FB9" w:rsidR="00306026" w:rsidRDefault="00306026" w:rsidP="00306026">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cPr>
          <w:p w14:paraId="36C62F56" w14:textId="4BB00799" w:rsidR="00306026" w:rsidRDefault="00F564BF" w:rsidP="00306026">
            <w:pPr>
              <w:rPr>
                <w:rFonts w:cs="Arial"/>
              </w:rPr>
            </w:pPr>
            <w:proofErr w:type="spellStart"/>
            <w:r>
              <w:rPr>
                <w:rFonts w:cs="Arial"/>
              </w:rPr>
              <w:t>T</w:t>
            </w:r>
            <w:r w:rsidR="00306026">
              <w:rPr>
                <w:rFonts w:cs="Arial"/>
              </w:rPr>
              <w: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79646" w:themeFill="accent6"/>
          </w:tcPr>
          <w:p w14:paraId="6C12B747" w14:textId="652F49DD" w:rsidR="00306026" w:rsidRDefault="00306026" w:rsidP="00306026">
            <w:pPr>
              <w:rPr>
                <w:rFonts w:cs="Arial"/>
              </w:rPr>
            </w:pPr>
            <w:r>
              <w:rPr>
                <w:rFonts w:cs="Arial"/>
              </w:rPr>
              <w:t xml:space="preserve">Examples a) and b) of characteristics given are not the most important characteristics and the description of a) doesn’t really center on the heading (division of data).  B) is better than a) and C is great as is.   </w:t>
            </w:r>
          </w:p>
        </w:tc>
        <w:tc>
          <w:tcPr>
            <w:tcW w:w="1811" w:type="dxa"/>
            <w:tcBorders>
              <w:top w:val="single" w:sz="4" w:space="0" w:color="auto"/>
              <w:left w:val="single" w:sz="4" w:space="0" w:color="auto"/>
              <w:bottom w:val="single" w:sz="4" w:space="0" w:color="auto"/>
              <w:right w:val="single" w:sz="4" w:space="0" w:color="auto"/>
            </w:tcBorders>
            <w:shd w:val="clear" w:color="auto" w:fill="F79646" w:themeFill="accent6"/>
          </w:tcPr>
          <w:p w14:paraId="250E121C" w14:textId="0F1FF038" w:rsidR="00306026" w:rsidRPr="000630F7" w:rsidRDefault="00306026" w:rsidP="00306026">
            <w:pPr>
              <w:rPr>
                <w:rFonts w:cs="Arial"/>
              </w:rPr>
            </w:pPr>
            <w:proofErr w:type="spellStart"/>
            <w:r w:rsidRPr="0029218E">
              <w:rPr>
                <w:rFonts w:cs="Arial"/>
              </w:rPr>
              <w:t>J.Hashmall</w:t>
            </w:r>
            <w:proofErr w:type="spellEnd"/>
            <w:r w:rsidRPr="0029218E">
              <w:rPr>
                <w:rFonts w:cs="Arial"/>
              </w:rPr>
              <w:t>/NASA/GSFC</w:t>
            </w:r>
          </w:p>
        </w:tc>
        <w:tc>
          <w:tcPr>
            <w:tcW w:w="3769" w:type="dxa"/>
            <w:tcBorders>
              <w:top w:val="single" w:sz="4" w:space="0" w:color="auto"/>
              <w:left w:val="single" w:sz="4" w:space="0" w:color="auto"/>
              <w:bottom w:val="single" w:sz="4" w:space="0" w:color="auto"/>
              <w:right w:val="single" w:sz="4" w:space="0" w:color="auto"/>
            </w:tcBorders>
            <w:shd w:val="clear" w:color="auto" w:fill="F79646" w:themeFill="accent6"/>
          </w:tcPr>
          <w:p w14:paraId="27D984A1" w14:textId="635FF1B6" w:rsidR="00306026" w:rsidRDefault="00306026" w:rsidP="00306026">
            <w:pPr>
              <w:rPr>
                <w:rFonts w:cs="Arial"/>
              </w:rPr>
            </w:pPr>
            <w:r>
              <w:rPr>
                <w:rFonts w:cs="Arial"/>
              </w:rPr>
              <w:t>Consider whether a) should be replaced by some description of the data content---perhaps divided between spacecraft data (e.g. position, velocity, attitude, etc.) and mission data (anything that might be put in an ICD and which normally doesn’t change within a mission (e.g. units, spacecraft structure, mission specific terms, etc.).  If you decide to keep the characteristic of session division, it should be put near the end of the list.</w:t>
            </w:r>
            <w:r w:rsidR="003C583A">
              <w:rPr>
                <w:rFonts w:cs="Arial"/>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79646" w:themeFill="accent6"/>
          </w:tcPr>
          <w:p w14:paraId="5EC1E0C4" w14:textId="54E3A02D" w:rsidR="00306026" w:rsidRPr="000630F7" w:rsidRDefault="00ED09D8" w:rsidP="00306026">
            <w:r>
              <w:rPr>
                <w:b/>
              </w:rPr>
              <w:t>Deferred</w:t>
            </w:r>
            <w:r w:rsidR="00F564BF" w:rsidRPr="00F564BF">
              <w:rPr>
                <w:b/>
              </w:rPr>
              <w:t>.</w:t>
            </w:r>
            <w:r w:rsidR="00F564BF">
              <w:t xml:space="preserve"> These changes were considered, but deemed unnecessary at this time.</w:t>
            </w:r>
          </w:p>
        </w:tc>
      </w:tr>
      <w:tr w:rsidR="00306026" w:rsidRPr="00C635BB" w14:paraId="7D106302" w14:textId="77777777" w:rsidTr="008D1374">
        <w:trPr>
          <w:jc w:val="center"/>
        </w:trPr>
        <w:tc>
          <w:tcPr>
            <w:tcW w:w="668" w:type="dxa"/>
            <w:tcBorders>
              <w:top w:val="single" w:sz="4" w:space="0" w:color="auto"/>
              <w:left w:val="single" w:sz="4" w:space="0" w:color="auto"/>
              <w:bottom w:val="single" w:sz="4" w:space="0" w:color="auto"/>
              <w:right w:val="single" w:sz="4" w:space="0" w:color="auto"/>
            </w:tcBorders>
          </w:tcPr>
          <w:p w14:paraId="65EFD29D" w14:textId="72C8C54E" w:rsidR="00306026" w:rsidRPr="000630F7" w:rsidRDefault="003C583A" w:rsidP="00306026">
            <w:pPr>
              <w:rPr>
                <w:rFonts w:cs="Arial"/>
              </w:rPr>
            </w:pPr>
            <w:r>
              <w:rPr>
                <w:rFonts w:cs="Arial"/>
              </w:rPr>
              <w:t>3-13</w:t>
            </w:r>
          </w:p>
        </w:tc>
        <w:tc>
          <w:tcPr>
            <w:tcW w:w="900" w:type="dxa"/>
            <w:tcBorders>
              <w:top w:val="single" w:sz="4" w:space="0" w:color="auto"/>
              <w:left w:val="single" w:sz="4" w:space="0" w:color="auto"/>
              <w:bottom w:val="single" w:sz="4" w:space="0" w:color="auto"/>
              <w:right w:val="single" w:sz="4" w:space="0" w:color="auto"/>
            </w:tcBorders>
          </w:tcPr>
          <w:p w14:paraId="3C6FCE8A" w14:textId="1B463AA6" w:rsidR="00306026" w:rsidRPr="000630F7" w:rsidRDefault="003C583A" w:rsidP="00306026">
            <w:pPr>
              <w:rPr>
                <w:rFonts w:cs="Arial"/>
              </w:rPr>
            </w:pPr>
            <w:r>
              <w:rPr>
                <w:rFonts w:cs="Arial"/>
              </w:rPr>
              <w:t>3.3.1</w:t>
            </w:r>
          </w:p>
        </w:tc>
        <w:tc>
          <w:tcPr>
            <w:tcW w:w="630" w:type="dxa"/>
            <w:tcBorders>
              <w:top w:val="single" w:sz="4" w:space="0" w:color="auto"/>
              <w:left w:val="single" w:sz="4" w:space="0" w:color="auto"/>
              <w:bottom w:val="single" w:sz="4" w:space="0" w:color="auto"/>
              <w:right w:val="single" w:sz="4" w:space="0" w:color="auto"/>
            </w:tcBorders>
          </w:tcPr>
          <w:p w14:paraId="2853677D" w14:textId="7D57EAAE" w:rsidR="00306026" w:rsidRPr="000630F7" w:rsidRDefault="003C583A" w:rsidP="00306026">
            <w:pPr>
              <w:rPr>
                <w:rFonts w:cs="Arial"/>
              </w:rPr>
            </w:pPr>
            <w:r>
              <w:rPr>
                <w:rFonts w:cs="Arial"/>
              </w:rPr>
              <w:t>Fig 3-3</w:t>
            </w:r>
          </w:p>
        </w:tc>
        <w:tc>
          <w:tcPr>
            <w:tcW w:w="630" w:type="dxa"/>
            <w:tcBorders>
              <w:top w:val="single" w:sz="4" w:space="0" w:color="auto"/>
              <w:left w:val="single" w:sz="4" w:space="0" w:color="auto"/>
              <w:bottom w:val="single" w:sz="4" w:space="0" w:color="auto"/>
              <w:right w:val="single" w:sz="4" w:space="0" w:color="auto"/>
            </w:tcBorders>
          </w:tcPr>
          <w:p w14:paraId="22B5FAB5" w14:textId="0EB31903" w:rsidR="00306026" w:rsidRPr="000630F7" w:rsidRDefault="00306026" w:rsidP="00306026">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3A5FB27E" w14:textId="63BEF8F0" w:rsidR="00306026" w:rsidRPr="000630F7" w:rsidRDefault="00B47B9A" w:rsidP="00306026">
            <w:pPr>
              <w:rPr>
                <w:rFonts w:cs="Arial"/>
              </w:rPr>
            </w:pPr>
            <w:proofErr w:type="spellStart"/>
            <w:r>
              <w:rPr>
                <w:rFonts w:cs="Arial"/>
              </w:rPr>
              <w:t>t</w:t>
            </w:r>
            <w:r w:rsidR="003C583A">
              <w:rPr>
                <w:rFonts w:cs="Arial"/>
              </w:rPr>
              <w:t>e</w:t>
            </w:r>
            <w:r>
              <w:rPr>
                <w:rFonts w:cs="Arial"/>
              </w:rPr>
              <w:t>,ed</w:t>
            </w:r>
            <w:proofErr w:type="spellEnd"/>
          </w:p>
        </w:tc>
        <w:tc>
          <w:tcPr>
            <w:tcW w:w="3870" w:type="dxa"/>
            <w:tcBorders>
              <w:top w:val="single" w:sz="4" w:space="0" w:color="auto"/>
              <w:left w:val="single" w:sz="4" w:space="0" w:color="auto"/>
              <w:bottom w:val="single" w:sz="4" w:space="0" w:color="auto"/>
              <w:right w:val="single" w:sz="4" w:space="0" w:color="auto"/>
            </w:tcBorders>
          </w:tcPr>
          <w:p w14:paraId="044F6338" w14:textId="2832E229" w:rsidR="00306026" w:rsidRPr="000630F7" w:rsidRDefault="003C583A" w:rsidP="003C583A">
            <w:pPr>
              <w:rPr>
                <w:rFonts w:cs="Arial"/>
              </w:rPr>
            </w:pPr>
            <w:r>
              <w:rPr>
                <w:rFonts w:cs="Arial"/>
              </w:rPr>
              <w:t>I don’t understand why the data transfers in b) is from Operations Center to Operations Center while that in a) is from Flight Dynamics Center to Flight Dynamics Center.  Different agencies may call the same operational organization by different names but we should at least be consistent.</w:t>
            </w:r>
          </w:p>
        </w:tc>
        <w:tc>
          <w:tcPr>
            <w:tcW w:w="1811" w:type="dxa"/>
            <w:tcBorders>
              <w:top w:val="single" w:sz="4" w:space="0" w:color="auto"/>
              <w:left w:val="single" w:sz="4" w:space="0" w:color="auto"/>
              <w:bottom w:val="single" w:sz="4" w:space="0" w:color="auto"/>
              <w:right w:val="single" w:sz="4" w:space="0" w:color="auto"/>
            </w:tcBorders>
          </w:tcPr>
          <w:p w14:paraId="749E0DD8" w14:textId="574F51B5" w:rsidR="00306026" w:rsidRPr="000630F7" w:rsidRDefault="00306026" w:rsidP="00306026">
            <w:pPr>
              <w:rPr>
                <w:rFonts w:cs="Arial"/>
              </w:rPr>
            </w:pPr>
            <w:proofErr w:type="spellStart"/>
            <w:r w:rsidRPr="0029218E">
              <w:rPr>
                <w:rFonts w:cs="Arial"/>
              </w:rPr>
              <w:t>J.Hashmall</w:t>
            </w:r>
            <w:proofErr w:type="spellEnd"/>
            <w:r w:rsidRPr="0029218E">
              <w:rPr>
                <w:rFonts w:cs="Arial"/>
              </w:rPr>
              <w:t>/NASA/GSFC</w:t>
            </w:r>
          </w:p>
        </w:tc>
        <w:tc>
          <w:tcPr>
            <w:tcW w:w="3769" w:type="dxa"/>
            <w:tcBorders>
              <w:top w:val="single" w:sz="4" w:space="0" w:color="auto"/>
              <w:left w:val="single" w:sz="4" w:space="0" w:color="auto"/>
              <w:bottom w:val="single" w:sz="4" w:space="0" w:color="auto"/>
              <w:right w:val="single" w:sz="4" w:space="0" w:color="auto"/>
            </w:tcBorders>
          </w:tcPr>
          <w:p w14:paraId="6E8601A4" w14:textId="104A78C5" w:rsidR="00306026" w:rsidRPr="000630F7" w:rsidRDefault="003C583A" w:rsidP="00B47B9A">
            <w:pPr>
              <w:rPr>
                <w:rFonts w:cs="Arial"/>
              </w:rPr>
            </w:pPr>
            <w:r>
              <w:rPr>
                <w:rFonts w:cs="Arial"/>
              </w:rPr>
              <w:t xml:space="preserve">Change “Flight Dynamics Center” (which isn’t defined) to “Operations Center”.  </w:t>
            </w:r>
            <w:r w:rsidR="00B47B9A">
              <w:rPr>
                <w:rFonts w:cs="Arial"/>
              </w:rPr>
              <w:t xml:space="preserve">Perhaps </w:t>
            </w:r>
            <w:proofErr w:type="spellStart"/>
            <w:r w:rsidR="00B47B9A">
              <w:rPr>
                <w:rFonts w:cs="Arial"/>
              </w:rPr>
              <w:t>bith</w:t>
            </w:r>
            <w:proofErr w:type="spellEnd"/>
            <w:r w:rsidR="00B47B9A">
              <w:rPr>
                <w:rFonts w:cs="Arial"/>
              </w:rPr>
              <w:t xml:space="preserve"> should be changed to “Agency Center” which is defined in section 3-2.</w:t>
            </w:r>
            <w:r>
              <w:rPr>
                <w:rFonts w:cs="Arial"/>
              </w:rPr>
              <w:t xml:space="preserve"> </w:t>
            </w:r>
          </w:p>
        </w:tc>
        <w:tc>
          <w:tcPr>
            <w:tcW w:w="1946" w:type="dxa"/>
            <w:tcBorders>
              <w:top w:val="single" w:sz="4" w:space="0" w:color="auto"/>
              <w:left w:val="single" w:sz="4" w:space="0" w:color="auto"/>
              <w:bottom w:val="single" w:sz="4" w:space="0" w:color="auto"/>
              <w:right w:val="single" w:sz="4" w:space="0" w:color="auto"/>
            </w:tcBorders>
          </w:tcPr>
          <w:p w14:paraId="25F9D941" w14:textId="4C1F2318" w:rsidR="00306026" w:rsidRPr="001318AC" w:rsidRDefault="001318AC" w:rsidP="00306026">
            <w:r w:rsidRPr="001318AC">
              <w:rPr>
                <w:b/>
              </w:rPr>
              <w:t>Accepted.</w:t>
            </w:r>
            <w:r>
              <w:rPr>
                <w:b/>
              </w:rPr>
              <w:t xml:space="preserve"> </w:t>
            </w:r>
            <w:r>
              <w:t>Changed to Operations Center.</w:t>
            </w:r>
          </w:p>
        </w:tc>
      </w:tr>
      <w:tr w:rsidR="00B47B9A" w:rsidRPr="00C635BB" w14:paraId="7E422A9A" w14:textId="77777777" w:rsidTr="008D1374">
        <w:trPr>
          <w:jc w:val="center"/>
        </w:trPr>
        <w:tc>
          <w:tcPr>
            <w:tcW w:w="668" w:type="dxa"/>
            <w:tcBorders>
              <w:top w:val="single" w:sz="4" w:space="0" w:color="auto"/>
              <w:left w:val="single" w:sz="4" w:space="0" w:color="auto"/>
              <w:bottom w:val="single" w:sz="4" w:space="0" w:color="auto"/>
              <w:right w:val="single" w:sz="4" w:space="0" w:color="auto"/>
            </w:tcBorders>
            <w:shd w:val="clear" w:color="auto" w:fill="F79646" w:themeFill="accent6"/>
          </w:tcPr>
          <w:p w14:paraId="78B3401B" w14:textId="4041D5BC" w:rsidR="00B47B9A" w:rsidRPr="000630F7" w:rsidRDefault="00B47B9A" w:rsidP="00B47B9A">
            <w:pPr>
              <w:rPr>
                <w:rFonts w:cs="Arial"/>
              </w:rPr>
            </w:pPr>
            <w:r>
              <w:rPr>
                <w:rFonts w:cs="Arial"/>
              </w:rPr>
              <w:t>3-13</w:t>
            </w:r>
          </w:p>
        </w:tc>
        <w:tc>
          <w:tcPr>
            <w:tcW w:w="900" w:type="dxa"/>
            <w:tcBorders>
              <w:top w:val="single" w:sz="4" w:space="0" w:color="auto"/>
              <w:left w:val="single" w:sz="4" w:space="0" w:color="auto"/>
              <w:bottom w:val="single" w:sz="4" w:space="0" w:color="auto"/>
              <w:right w:val="single" w:sz="4" w:space="0" w:color="auto"/>
            </w:tcBorders>
            <w:shd w:val="clear" w:color="auto" w:fill="F79646" w:themeFill="accent6"/>
          </w:tcPr>
          <w:p w14:paraId="0FAF39BB" w14:textId="38B1639D" w:rsidR="00B47B9A" w:rsidRPr="000630F7" w:rsidRDefault="00B47B9A" w:rsidP="00B47B9A">
            <w:pPr>
              <w:rPr>
                <w:rFonts w:cs="Arial"/>
              </w:rPr>
            </w:pPr>
            <w:r>
              <w:rPr>
                <w:rFonts w:cs="Arial"/>
              </w:rPr>
              <w:t>3.3.1</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14:paraId="50468064" w14:textId="3060EE6C" w:rsidR="00B47B9A" w:rsidRPr="000630F7" w:rsidRDefault="00B47B9A" w:rsidP="00B47B9A">
            <w:pPr>
              <w:rPr>
                <w:rFonts w:cs="Arial"/>
              </w:rPr>
            </w:pPr>
            <w:r>
              <w:rPr>
                <w:rFonts w:cs="Arial"/>
              </w:rPr>
              <w:t>Fig 3-3b</w:t>
            </w:r>
          </w:p>
        </w:tc>
        <w:tc>
          <w:tcPr>
            <w:tcW w:w="630" w:type="dxa"/>
            <w:tcBorders>
              <w:top w:val="single" w:sz="4" w:space="0" w:color="auto"/>
              <w:left w:val="single" w:sz="4" w:space="0" w:color="auto"/>
              <w:bottom w:val="single" w:sz="4" w:space="0" w:color="auto"/>
              <w:right w:val="single" w:sz="4" w:space="0" w:color="auto"/>
            </w:tcBorders>
            <w:shd w:val="clear" w:color="auto" w:fill="F79646" w:themeFill="accent6"/>
          </w:tcPr>
          <w:p w14:paraId="3BB864C7" w14:textId="633AF926" w:rsidR="00B47B9A" w:rsidRPr="000630F7" w:rsidRDefault="00B47B9A" w:rsidP="00B47B9A">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cPr>
          <w:p w14:paraId="2BFF0813" w14:textId="3572ED7E" w:rsidR="00B47B9A" w:rsidRPr="000630F7" w:rsidRDefault="00B47B9A" w:rsidP="00B47B9A">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shd w:val="clear" w:color="auto" w:fill="F79646" w:themeFill="accent6"/>
          </w:tcPr>
          <w:p w14:paraId="71E59C50" w14:textId="165B082A" w:rsidR="00B47B9A" w:rsidRPr="000630F7" w:rsidRDefault="00B47B9A" w:rsidP="00B47B9A">
            <w:pPr>
              <w:rPr>
                <w:rFonts w:cs="Arial"/>
              </w:rPr>
            </w:pPr>
            <w:r>
              <w:rPr>
                <w:rFonts w:cs="Arial"/>
              </w:rPr>
              <w:t>I don’t think that exchange of an ICD is a</w:t>
            </w:r>
            <w:r w:rsidR="00AA2C26">
              <w:rPr>
                <w:rFonts w:cs="Arial"/>
              </w:rPr>
              <w:t>n</w:t>
            </w:r>
            <w:r>
              <w:rPr>
                <w:rFonts w:cs="Arial"/>
              </w:rPr>
              <w:t xml:space="preserve"> “event” in the same sense as exchange of spacecraft data.</w:t>
            </w:r>
          </w:p>
        </w:tc>
        <w:tc>
          <w:tcPr>
            <w:tcW w:w="1811" w:type="dxa"/>
            <w:tcBorders>
              <w:top w:val="single" w:sz="4" w:space="0" w:color="auto"/>
              <w:left w:val="single" w:sz="4" w:space="0" w:color="auto"/>
              <w:bottom w:val="single" w:sz="4" w:space="0" w:color="auto"/>
              <w:right w:val="single" w:sz="4" w:space="0" w:color="auto"/>
            </w:tcBorders>
            <w:shd w:val="clear" w:color="auto" w:fill="F79646" w:themeFill="accent6"/>
          </w:tcPr>
          <w:p w14:paraId="10AA99FC" w14:textId="18FE83E5" w:rsidR="00B47B9A" w:rsidRPr="000630F7" w:rsidRDefault="00B47B9A" w:rsidP="00B47B9A">
            <w:pPr>
              <w:rPr>
                <w:rFonts w:cs="Arial"/>
              </w:rPr>
            </w:pPr>
            <w:proofErr w:type="spellStart"/>
            <w:r w:rsidRPr="0029218E">
              <w:rPr>
                <w:rFonts w:cs="Arial"/>
              </w:rPr>
              <w:t>J.Hashmall</w:t>
            </w:r>
            <w:proofErr w:type="spellEnd"/>
            <w:r w:rsidRPr="0029218E">
              <w:rPr>
                <w:rFonts w:cs="Arial"/>
              </w:rPr>
              <w:t>/NASA/GSFC</w:t>
            </w:r>
          </w:p>
        </w:tc>
        <w:tc>
          <w:tcPr>
            <w:tcW w:w="3769" w:type="dxa"/>
            <w:tcBorders>
              <w:top w:val="single" w:sz="4" w:space="0" w:color="auto"/>
              <w:left w:val="single" w:sz="4" w:space="0" w:color="auto"/>
              <w:bottom w:val="single" w:sz="4" w:space="0" w:color="auto"/>
              <w:right w:val="single" w:sz="4" w:space="0" w:color="auto"/>
            </w:tcBorders>
            <w:shd w:val="clear" w:color="auto" w:fill="F79646" w:themeFill="accent6"/>
          </w:tcPr>
          <w:p w14:paraId="7BE201D4" w14:textId="42F60D99" w:rsidR="00B47B9A" w:rsidRPr="000630F7" w:rsidRDefault="00AA2C26" w:rsidP="00AA2C26">
            <w:pPr>
              <w:rPr>
                <w:rFonts w:cs="Arial"/>
              </w:rPr>
            </w:pPr>
            <w:r>
              <w:rPr>
                <w:rFonts w:cs="Arial"/>
              </w:rPr>
              <w:t>Suggest you eliminate “Event” or find a different word for it.</w:t>
            </w:r>
          </w:p>
        </w:tc>
        <w:tc>
          <w:tcPr>
            <w:tcW w:w="1946" w:type="dxa"/>
            <w:tcBorders>
              <w:top w:val="single" w:sz="4" w:space="0" w:color="auto"/>
              <w:left w:val="single" w:sz="4" w:space="0" w:color="auto"/>
              <w:bottom w:val="single" w:sz="4" w:space="0" w:color="auto"/>
              <w:right w:val="single" w:sz="4" w:space="0" w:color="auto"/>
            </w:tcBorders>
            <w:shd w:val="clear" w:color="auto" w:fill="F79646" w:themeFill="accent6"/>
          </w:tcPr>
          <w:p w14:paraId="286D2571" w14:textId="1B19949D" w:rsidR="00B47B9A" w:rsidRPr="000630F7" w:rsidRDefault="00567701" w:rsidP="00B47B9A">
            <w:r>
              <w:rPr>
                <w:b/>
              </w:rPr>
              <w:t>Deferred</w:t>
            </w:r>
            <w:r w:rsidRPr="00F564BF">
              <w:rPr>
                <w:b/>
              </w:rPr>
              <w:t>.</w:t>
            </w:r>
            <w:r>
              <w:t xml:space="preserve"> These changes were considered, but deemed unnecessary at this time</w:t>
            </w:r>
          </w:p>
        </w:tc>
      </w:tr>
      <w:tr w:rsidR="00306026" w:rsidRPr="00C635BB" w14:paraId="553BA3F9" w14:textId="77777777" w:rsidTr="008D1374">
        <w:trPr>
          <w:jc w:val="center"/>
        </w:trPr>
        <w:tc>
          <w:tcPr>
            <w:tcW w:w="668" w:type="dxa"/>
            <w:tcBorders>
              <w:top w:val="single" w:sz="4" w:space="0" w:color="auto"/>
              <w:left w:val="single" w:sz="4" w:space="0" w:color="auto"/>
              <w:bottom w:val="single" w:sz="4" w:space="0" w:color="auto"/>
              <w:right w:val="single" w:sz="4" w:space="0" w:color="auto"/>
            </w:tcBorders>
          </w:tcPr>
          <w:p w14:paraId="4B694BE2" w14:textId="1D530E5F" w:rsidR="00306026" w:rsidRPr="000630F7" w:rsidRDefault="00AA2C26" w:rsidP="00306026">
            <w:pPr>
              <w:rPr>
                <w:rFonts w:cs="Arial"/>
              </w:rPr>
            </w:pPr>
            <w:r>
              <w:rPr>
                <w:rFonts w:cs="Arial"/>
              </w:rPr>
              <w:t>3-14</w:t>
            </w:r>
          </w:p>
        </w:tc>
        <w:tc>
          <w:tcPr>
            <w:tcW w:w="900" w:type="dxa"/>
            <w:tcBorders>
              <w:top w:val="single" w:sz="4" w:space="0" w:color="auto"/>
              <w:left w:val="single" w:sz="4" w:space="0" w:color="auto"/>
              <w:bottom w:val="single" w:sz="4" w:space="0" w:color="auto"/>
              <w:right w:val="single" w:sz="4" w:space="0" w:color="auto"/>
            </w:tcBorders>
          </w:tcPr>
          <w:p w14:paraId="2190F359" w14:textId="52412229" w:rsidR="00306026" w:rsidRPr="000630F7" w:rsidRDefault="00306026" w:rsidP="00306026">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50D4536E" w14:textId="3D54E8D5" w:rsidR="00306026" w:rsidRPr="000630F7" w:rsidRDefault="00AA2C26" w:rsidP="00306026">
            <w:pPr>
              <w:rPr>
                <w:rFonts w:cs="Arial"/>
              </w:rPr>
            </w:pPr>
            <w:r>
              <w:rPr>
                <w:rFonts w:cs="Arial"/>
              </w:rPr>
              <w:t>Fig 3-4</w:t>
            </w:r>
          </w:p>
        </w:tc>
        <w:tc>
          <w:tcPr>
            <w:tcW w:w="630" w:type="dxa"/>
            <w:tcBorders>
              <w:top w:val="single" w:sz="4" w:space="0" w:color="auto"/>
              <w:left w:val="single" w:sz="4" w:space="0" w:color="auto"/>
              <w:bottom w:val="single" w:sz="4" w:space="0" w:color="auto"/>
              <w:right w:val="single" w:sz="4" w:space="0" w:color="auto"/>
            </w:tcBorders>
          </w:tcPr>
          <w:p w14:paraId="7C918257" w14:textId="1D5AC9C6" w:rsidR="00306026" w:rsidRPr="000630F7" w:rsidRDefault="00306026" w:rsidP="00306026">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75424C92" w14:textId="7D750858" w:rsidR="00306026" w:rsidRPr="000630F7" w:rsidRDefault="00AA2C26" w:rsidP="00306026">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B807EBE" w14:textId="0DCE176D" w:rsidR="00306026" w:rsidRPr="000630F7" w:rsidRDefault="00AA2C26" w:rsidP="00306026">
            <w:pPr>
              <w:rPr>
                <w:rFonts w:cs="Arial"/>
              </w:rPr>
            </w:pPr>
            <w:r>
              <w:rPr>
                <w:rFonts w:cs="Arial"/>
              </w:rPr>
              <w:t>This is a good figure but the same comments as for Fig 3-3 apply.</w:t>
            </w:r>
          </w:p>
        </w:tc>
        <w:tc>
          <w:tcPr>
            <w:tcW w:w="1811" w:type="dxa"/>
            <w:tcBorders>
              <w:top w:val="single" w:sz="4" w:space="0" w:color="auto"/>
              <w:left w:val="single" w:sz="4" w:space="0" w:color="auto"/>
              <w:bottom w:val="single" w:sz="4" w:space="0" w:color="auto"/>
              <w:right w:val="single" w:sz="4" w:space="0" w:color="auto"/>
            </w:tcBorders>
          </w:tcPr>
          <w:p w14:paraId="5B8B02AF" w14:textId="77169452" w:rsidR="00306026" w:rsidRPr="000630F7" w:rsidRDefault="00306026" w:rsidP="00306026">
            <w:pPr>
              <w:rPr>
                <w:rFonts w:cs="Arial"/>
              </w:rPr>
            </w:pPr>
            <w:proofErr w:type="spellStart"/>
            <w:r w:rsidRPr="0029218E">
              <w:rPr>
                <w:rFonts w:cs="Arial"/>
              </w:rPr>
              <w:t>J.Hashmall</w:t>
            </w:r>
            <w:proofErr w:type="spellEnd"/>
            <w:r w:rsidRPr="0029218E">
              <w:rPr>
                <w:rFonts w:cs="Arial"/>
              </w:rPr>
              <w:t>/NASA/GSFC</w:t>
            </w:r>
          </w:p>
        </w:tc>
        <w:tc>
          <w:tcPr>
            <w:tcW w:w="3769" w:type="dxa"/>
            <w:tcBorders>
              <w:top w:val="single" w:sz="4" w:space="0" w:color="auto"/>
              <w:left w:val="single" w:sz="4" w:space="0" w:color="auto"/>
              <w:bottom w:val="single" w:sz="4" w:space="0" w:color="auto"/>
              <w:right w:val="single" w:sz="4" w:space="0" w:color="auto"/>
            </w:tcBorders>
          </w:tcPr>
          <w:p w14:paraId="7EF2CE3C" w14:textId="6AE7CFA2" w:rsidR="00306026" w:rsidRPr="000630F7" w:rsidRDefault="00AA2C26" w:rsidP="00306026">
            <w:pPr>
              <w:rPr>
                <w:rFonts w:cs="Arial"/>
              </w:rPr>
            </w:pPr>
            <w:r>
              <w:rPr>
                <w:rFonts w:cs="Arial"/>
              </w:rPr>
              <w:t>Change “Flight Dynamics Center” to “Operations Center”</w:t>
            </w:r>
          </w:p>
        </w:tc>
        <w:tc>
          <w:tcPr>
            <w:tcW w:w="1946" w:type="dxa"/>
            <w:tcBorders>
              <w:top w:val="single" w:sz="4" w:space="0" w:color="auto"/>
              <w:left w:val="single" w:sz="4" w:space="0" w:color="auto"/>
              <w:bottom w:val="single" w:sz="4" w:space="0" w:color="auto"/>
              <w:right w:val="single" w:sz="4" w:space="0" w:color="auto"/>
            </w:tcBorders>
          </w:tcPr>
          <w:p w14:paraId="43DECBC2" w14:textId="104885F9" w:rsidR="00306026" w:rsidRPr="009D3410" w:rsidRDefault="009D3410" w:rsidP="00306026">
            <w:pPr>
              <w:rPr>
                <w:b/>
              </w:rPr>
            </w:pPr>
            <w:r w:rsidRPr="009D3410">
              <w:rPr>
                <w:b/>
              </w:rPr>
              <w:t>Accepted.</w:t>
            </w:r>
            <w:r>
              <w:rPr>
                <w:b/>
              </w:rPr>
              <w:t xml:space="preserve"> </w:t>
            </w:r>
            <w:r>
              <w:t>Changed to Operations Center.</w:t>
            </w:r>
            <w:r w:rsidRPr="009D3410">
              <w:rPr>
                <w:b/>
              </w:rPr>
              <w:t xml:space="preserve"> </w:t>
            </w:r>
          </w:p>
        </w:tc>
      </w:tr>
      <w:tr w:rsidR="00AA2C26" w:rsidRPr="00C635BB" w14:paraId="6561B90D" w14:textId="77777777" w:rsidTr="008D1374">
        <w:trPr>
          <w:jc w:val="center"/>
        </w:trPr>
        <w:tc>
          <w:tcPr>
            <w:tcW w:w="668" w:type="dxa"/>
            <w:tcBorders>
              <w:top w:val="single" w:sz="4" w:space="0" w:color="auto"/>
              <w:left w:val="single" w:sz="4" w:space="0" w:color="auto"/>
              <w:bottom w:val="single" w:sz="4" w:space="0" w:color="auto"/>
              <w:right w:val="single" w:sz="4" w:space="0" w:color="auto"/>
            </w:tcBorders>
          </w:tcPr>
          <w:p w14:paraId="0C8A25CB" w14:textId="657C1590" w:rsidR="00AA2C26" w:rsidRPr="000630F7" w:rsidRDefault="00AA2C26" w:rsidP="00AA2C26">
            <w:pPr>
              <w:rPr>
                <w:rFonts w:cs="Arial"/>
              </w:rPr>
            </w:pPr>
            <w:r>
              <w:rPr>
                <w:rFonts w:cs="Arial"/>
              </w:rPr>
              <w:t>4-24-4-25</w:t>
            </w:r>
          </w:p>
        </w:tc>
        <w:tc>
          <w:tcPr>
            <w:tcW w:w="900" w:type="dxa"/>
            <w:tcBorders>
              <w:top w:val="single" w:sz="4" w:space="0" w:color="auto"/>
              <w:left w:val="single" w:sz="4" w:space="0" w:color="auto"/>
              <w:bottom w:val="single" w:sz="4" w:space="0" w:color="auto"/>
              <w:right w:val="single" w:sz="4" w:space="0" w:color="auto"/>
            </w:tcBorders>
          </w:tcPr>
          <w:p w14:paraId="2AD89A44" w14:textId="77777777" w:rsidR="00AA2C26" w:rsidRPr="000630F7" w:rsidRDefault="00AA2C26" w:rsidP="00AA2C26">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52A2DB0C" w14:textId="64540FE6" w:rsidR="00AA2C26" w:rsidRPr="000630F7" w:rsidRDefault="00AA2C26" w:rsidP="00AA2C26">
            <w:pPr>
              <w:rPr>
                <w:rFonts w:cs="Arial"/>
              </w:rPr>
            </w:pPr>
            <w:r>
              <w:rPr>
                <w:rFonts w:cs="Arial"/>
              </w:rPr>
              <w:t>4.4</w:t>
            </w:r>
          </w:p>
        </w:tc>
        <w:tc>
          <w:tcPr>
            <w:tcW w:w="630" w:type="dxa"/>
            <w:tcBorders>
              <w:top w:val="single" w:sz="4" w:space="0" w:color="auto"/>
              <w:left w:val="single" w:sz="4" w:space="0" w:color="auto"/>
              <w:bottom w:val="single" w:sz="4" w:space="0" w:color="auto"/>
              <w:right w:val="single" w:sz="4" w:space="0" w:color="auto"/>
            </w:tcBorders>
          </w:tcPr>
          <w:p w14:paraId="4CBA4BFA" w14:textId="77777777" w:rsidR="00AA2C26" w:rsidRPr="000630F7" w:rsidRDefault="00AA2C26" w:rsidP="00AA2C26">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22018FE3" w14:textId="07F2DB8D" w:rsidR="00AA2C26" w:rsidRPr="000630F7" w:rsidRDefault="00AA2C26" w:rsidP="00AA2C26">
            <w:pPr>
              <w:rPr>
                <w:rFonts w:cs="Arial"/>
              </w:rPr>
            </w:pP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0F9B7AE" w14:textId="30ECF6F6" w:rsidR="00AA2C26" w:rsidRPr="000630F7" w:rsidRDefault="00AA2C26" w:rsidP="00AA2C26">
            <w:pPr>
              <w:rPr>
                <w:rFonts w:cs="Arial"/>
              </w:rPr>
            </w:pPr>
            <w:r>
              <w:rPr>
                <w:rFonts w:cs="Arial"/>
              </w:rPr>
              <w:t xml:space="preserve">The contents of this section were intended as discussion points.  It should </w:t>
            </w:r>
            <w:r>
              <w:rPr>
                <w:rFonts w:cs="Arial"/>
              </w:rPr>
              <w:lastRenderedPageBreak/>
              <w:t>be cut down and rewritten (or eliminated).  The intention was that it should be discussed and the conclusions put in the green book.  We discussed it in the Spring 2015 meeting but no conclusions were made.</w:t>
            </w:r>
          </w:p>
        </w:tc>
        <w:tc>
          <w:tcPr>
            <w:tcW w:w="1811" w:type="dxa"/>
            <w:tcBorders>
              <w:top w:val="single" w:sz="4" w:space="0" w:color="auto"/>
              <w:left w:val="single" w:sz="4" w:space="0" w:color="auto"/>
              <w:bottom w:val="single" w:sz="4" w:space="0" w:color="auto"/>
              <w:right w:val="single" w:sz="4" w:space="0" w:color="auto"/>
            </w:tcBorders>
          </w:tcPr>
          <w:p w14:paraId="77085B3C" w14:textId="0BE7438B" w:rsidR="00AA2C26" w:rsidRPr="0029218E" w:rsidRDefault="00AA2C26" w:rsidP="00AA2C26">
            <w:pPr>
              <w:rPr>
                <w:rFonts w:cs="Arial"/>
              </w:rPr>
            </w:pPr>
            <w:proofErr w:type="spellStart"/>
            <w:r w:rsidRPr="00C257FD">
              <w:rPr>
                <w:rFonts w:cs="Arial"/>
              </w:rPr>
              <w:lastRenderedPageBreak/>
              <w:t>J.Hashmall</w:t>
            </w:r>
            <w:proofErr w:type="spellEnd"/>
            <w:r w:rsidRPr="00C257FD">
              <w:rPr>
                <w:rFonts w:cs="Arial"/>
              </w:rPr>
              <w:t>/NASA/GSFC</w:t>
            </w:r>
          </w:p>
        </w:tc>
        <w:tc>
          <w:tcPr>
            <w:tcW w:w="3769" w:type="dxa"/>
            <w:tcBorders>
              <w:top w:val="single" w:sz="4" w:space="0" w:color="auto"/>
              <w:left w:val="single" w:sz="4" w:space="0" w:color="auto"/>
              <w:bottom w:val="single" w:sz="4" w:space="0" w:color="auto"/>
              <w:right w:val="single" w:sz="4" w:space="0" w:color="auto"/>
            </w:tcBorders>
          </w:tcPr>
          <w:p w14:paraId="16A10283" w14:textId="1FA66A78" w:rsidR="00AA2C26" w:rsidRPr="000630F7" w:rsidRDefault="00AA2C26" w:rsidP="004A2FA2">
            <w:pPr>
              <w:rPr>
                <w:rFonts w:cs="Arial"/>
              </w:rPr>
            </w:pPr>
            <w:r>
              <w:rPr>
                <w:rFonts w:cs="Arial"/>
              </w:rPr>
              <w:t>Eliminate or completely rewrite the section</w:t>
            </w:r>
            <w:r w:rsidR="004A2FA2">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39EA1CDA" w14:textId="296142F5" w:rsidR="00AA2C26" w:rsidRPr="005C3855" w:rsidRDefault="005C3855" w:rsidP="00AA2C26">
            <w:r w:rsidRPr="005C3855">
              <w:rPr>
                <w:b/>
              </w:rPr>
              <w:t>Accepted.</w:t>
            </w:r>
            <w:r>
              <w:rPr>
                <w:b/>
              </w:rPr>
              <w:t xml:space="preserve"> </w:t>
            </w:r>
            <w:r>
              <w:t xml:space="preserve">Removed during the </w:t>
            </w:r>
            <w:r>
              <w:lastRenderedPageBreak/>
              <w:t>CCSDS Spring 2015 meetings.</w:t>
            </w:r>
          </w:p>
        </w:tc>
      </w:tr>
      <w:tr w:rsidR="00AA2C26" w:rsidRPr="00C635BB" w14:paraId="1A5DA0B1" w14:textId="77777777" w:rsidTr="008D1374">
        <w:trPr>
          <w:jc w:val="center"/>
        </w:trPr>
        <w:tc>
          <w:tcPr>
            <w:tcW w:w="668" w:type="dxa"/>
            <w:tcBorders>
              <w:top w:val="single" w:sz="4" w:space="0" w:color="auto"/>
              <w:left w:val="single" w:sz="4" w:space="0" w:color="auto"/>
              <w:bottom w:val="single" w:sz="4" w:space="0" w:color="auto"/>
              <w:right w:val="single" w:sz="4" w:space="0" w:color="auto"/>
            </w:tcBorders>
          </w:tcPr>
          <w:p w14:paraId="222F7D8E" w14:textId="10D537C9" w:rsidR="00AA2C26" w:rsidRPr="000630F7" w:rsidRDefault="001E33E4" w:rsidP="001E33E4">
            <w:pPr>
              <w:rPr>
                <w:rFonts w:cs="Arial"/>
              </w:rPr>
            </w:pPr>
            <w:r>
              <w:rPr>
                <w:rFonts w:cs="Arial"/>
              </w:rPr>
              <w:lastRenderedPageBreak/>
              <w:t>4-28 to 4-29</w:t>
            </w:r>
          </w:p>
        </w:tc>
        <w:tc>
          <w:tcPr>
            <w:tcW w:w="900" w:type="dxa"/>
            <w:tcBorders>
              <w:top w:val="single" w:sz="4" w:space="0" w:color="auto"/>
              <w:left w:val="single" w:sz="4" w:space="0" w:color="auto"/>
              <w:bottom w:val="single" w:sz="4" w:space="0" w:color="auto"/>
              <w:right w:val="single" w:sz="4" w:space="0" w:color="auto"/>
            </w:tcBorders>
          </w:tcPr>
          <w:p w14:paraId="12F08482" w14:textId="6957C59E" w:rsidR="00AA2C26" w:rsidRPr="000630F7" w:rsidRDefault="001E33E4" w:rsidP="00AA2C26">
            <w:pPr>
              <w:rPr>
                <w:rFonts w:cs="Arial"/>
              </w:rPr>
            </w:pPr>
            <w:r>
              <w:rPr>
                <w:rFonts w:cs="Arial"/>
              </w:rPr>
              <w:t>4.5</w:t>
            </w:r>
          </w:p>
        </w:tc>
        <w:tc>
          <w:tcPr>
            <w:tcW w:w="630" w:type="dxa"/>
            <w:tcBorders>
              <w:top w:val="single" w:sz="4" w:space="0" w:color="auto"/>
              <w:left w:val="single" w:sz="4" w:space="0" w:color="auto"/>
              <w:bottom w:val="single" w:sz="4" w:space="0" w:color="auto"/>
              <w:right w:val="single" w:sz="4" w:space="0" w:color="auto"/>
            </w:tcBorders>
          </w:tcPr>
          <w:p w14:paraId="3018337D" w14:textId="5B335635" w:rsidR="00AA2C26" w:rsidRPr="000630F7" w:rsidRDefault="00C40ACE" w:rsidP="00C40ACE">
            <w:pPr>
              <w:rPr>
                <w:rFonts w:cs="Arial"/>
              </w:rPr>
            </w:pPr>
            <w:r>
              <w:rPr>
                <w:rFonts w:cs="Arial"/>
              </w:rPr>
              <w:t>1 and 2 and Fig 4-5 and 4-6</w:t>
            </w:r>
          </w:p>
        </w:tc>
        <w:tc>
          <w:tcPr>
            <w:tcW w:w="630" w:type="dxa"/>
            <w:tcBorders>
              <w:top w:val="single" w:sz="4" w:space="0" w:color="auto"/>
              <w:left w:val="single" w:sz="4" w:space="0" w:color="auto"/>
              <w:bottom w:val="single" w:sz="4" w:space="0" w:color="auto"/>
              <w:right w:val="single" w:sz="4" w:space="0" w:color="auto"/>
            </w:tcBorders>
          </w:tcPr>
          <w:p w14:paraId="2B7C0818" w14:textId="77777777" w:rsidR="00AA2C26" w:rsidRPr="000630F7" w:rsidRDefault="00AA2C26" w:rsidP="00AA2C26">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504F57B6" w14:textId="77777777" w:rsidR="00AA2C26" w:rsidRPr="000630F7" w:rsidRDefault="00AA2C26" w:rsidP="00AA2C26">
            <w:pPr>
              <w:rPr>
                <w:rFonts w:cs="Arial"/>
              </w:rPr>
            </w:pPr>
          </w:p>
        </w:tc>
        <w:tc>
          <w:tcPr>
            <w:tcW w:w="3870" w:type="dxa"/>
            <w:tcBorders>
              <w:top w:val="single" w:sz="4" w:space="0" w:color="auto"/>
              <w:left w:val="single" w:sz="4" w:space="0" w:color="auto"/>
              <w:bottom w:val="single" w:sz="4" w:space="0" w:color="auto"/>
              <w:right w:val="single" w:sz="4" w:space="0" w:color="auto"/>
            </w:tcBorders>
          </w:tcPr>
          <w:p w14:paraId="0EE4B68A" w14:textId="56BC16D3" w:rsidR="00AA2C26" w:rsidRPr="000630F7" w:rsidRDefault="00C40ACE" w:rsidP="00C40ACE">
            <w:pPr>
              <w:rPr>
                <w:rFonts w:cs="Arial"/>
              </w:rPr>
            </w:pPr>
            <w:r>
              <w:rPr>
                <w:rFonts w:cs="Arial"/>
              </w:rPr>
              <w:t>Fig 4-6 was intended to replace 4-5.  There is no reason not to keep both if you wish.</w:t>
            </w:r>
          </w:p>
        </w:tc>
        <w:tc>
          <w:tcPr>
            <w:tcW w:w="1811" w:type="dxa"/>
            <w:tcBorders>
              <w:top w:val="single" w:sz="4" w:space="0" w:color="auto"/>
              <w:left w:val="single" w:sz="4" w:space="0" w:color="auto"/>
              <w:bottom w:val="single" w:sz="4" w:space="0" w:color="auto"/>
              <w:right w:val="single" w:sz="4" w:space="0" w:color="auto"/>
            </w:tcBorders>
          </w:tcPr>
          <w:p w14:paraId="773B824E" w14:textId="4216E198" w:rsidR="00AA2C26" w:rsidRPr="0029218E" w:rsidRDefault="00AA2C26" w:rsidP="00AA2C26">
            <w:pPr>
              <w:rPr>
                <w:rFonts w:cs="Arial"/>
              </w:rPr>
            </w:pPr>
            <w:proofErr w:type="spellStart"/>
            <w:r w:rsidRPr="00C257FD">
              <w:rPr>
                <w:rFonts w:cs="Arial"/>
              </w:rPr>
              <w:t>J.Hashmall</w:t>
            </w:r>
            <w:proofErr w:type="spellEnd"/>
            <w:r w:rsidRPr="00C257FD">
              <w:rPr>
                <w:rFonts w:cs="Arial"/>
              </w:rPr>
              <w:t>/NASA/GSFC</w:t>
            </w:r>
          </w:p>
        </w:tc>
        <w:tc>
          <w:tcPr>
            <w:tcW w:w="3769" w:type="dxa"/>
            <w:tcBorders>
              <w:top w:val="single" w:sz="4" w:space="0" w:color="auto"/>
              <w:left w:val="single" w:sz="4" w:space="0" w:color="auto"/>
              <w:bottom w:val="single" w:sz="4" w:space="0" w:color="auto"/>
              <w:right w:val="single" w:sz="4" w:space="0" w:color="auto"/>
            </w:tcBorders>
          </w:tcPr>
          <w:p w14:paraId="4102D0B0" w14:textId="6B40BF7D" w:rsidR="00AA2C26" w:rsidRPr="000630F7" w:rsidRDefault="00C40ACE" w:rsidP="00AA2C26">
            <w:pPr>
              <w:rPr>
                <w:rFonts w:cs="Arial"/>
              </w:rPr>
            </w:pPr>
            <w:r>
              <w:rPr>
                <w:rFonts w:cs="Arial"/>
              </w:rPr>
              <w:t>Decide on whether to eliminate one or keep both but if you keep both you might want to change the caption to something like, “Use Case with Multiple Messages.”</w:t>
            </w:r>
          </w:p>
        </w:tc>
        <w:tc>
          <w:tcPr>
            <w:tcW w:w="1946" w:type="dxa"/>
            <w:tcBorders>
              <w:top w:val="single" w:sz="4" w:space="0" w:color="auto"/>
              <w:left w:val="single" w:sz="4" w:space="0" w:color="auto"/>
              <w:bottom w:val="single" w:sz="4" w:space="0" w:color="auto"/>
              <w:right w:val="single" w:sz="4" w:space="0" w:color="auto"/>
            </w:tcBorders>
          </w:tcPr>
          <w:p w14:paraId="240CCE93" w14:textId="02232788" w:rsidR="00AA2C26" w:rsidRPr="000669C9" w:rsidRDefault="000669C9" w:rsidP="00AA2C26">
            <w:r w:rsidRPr="000669C9">
              <w:rPr>
                <w:b/>
              </w:rPr>
              <w:t>Rejected.</w:t>
            </w:r>
            <w:r>
              <w:rPr>
                <w:b/>
              </w:rPr>
              <w:t xml:space="preserve"> </w:t>
            </w:r>
          </w:p>
        </w:tc>
      </w:tr>
    </w:tbl>
    <w:p w14:paraId="2C23B5C7" w14:textId="471420C3" w:rsidR="00063A48" w:rsidRDefault="00063A48" w:rsidP="00797113"/>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8D1374" w:rsidRPr="00C635BB" w14:paraId="01F51312" w14:textId="77777777" w:rsidTr="00BF76C3">
        <w:trPr>
          <w:tblHeader/>
          <w:jc w:val="center"/>
        </w:trPr>
        <w:tc>
          <w:tcPr>
            <w:tcW w:w="810" w:type="dxa"/>
            <w:vAlign w:val="center"/>
          </w:tcPr>
          <w:p w14:paraId="0310BA65" w14:textId="77777777" w:rsidR="008D1374" w:rsidRPr="00C635BB" w:rsidRDefault="008D1374" w:rsidP="00BF76C3">
            <w:pPr>
              <w:jc w:val="center"/>
              <w:rPr>
                <w:rFonts w:cs="Arial"/>
                <w:sz w:val="22"/>
                <w:szCs w:val="22"/>
              </w:rPr>
            </w:pPr>
            <w:r>
              <w:rPr>
                <w:b/>
                <w:bCs/>
                <w:color w:val="0000FF"/>
                <w:sz w:val="22"/>
              </w:rPr>
              <w:t>Page</w:t>
            </w:r>
          </w:p>
        </w:tc>
        <w:tc>
          <w:tcPr>
            <w:tcW w:w="1062" w:type="dxa"/>
            <w:vAlign w:val="center"/>
          </w:tcPr>
          <w:p w14:paraId="33CB68D8" w14:textId="77777777" w:rsidR="008D1374" w:rsidRPr="00C635BB" w:rsidRDefault="008D1374" w:rsidP="00BF76C3">
            <w:pPr>
              <w:jc w:val="center"/>
              <w:rPr>
                <w:rFonts w:cs="Arial"/>
                <w:sz w:val="22"/>
                <w:szCs w:val="22"/>
              </w:rPr>
            </w:pPr>
            <w:r>
              <w:rPr>
                <w:b/>
                <w:bCs/>
                <w:color w:val="0000FF"/>
                <w:sz w:val="22"/>
              </w:rPr>
              <w:t>Section</w:t>
            </w:r>
          </w:p>
        </w:tc>
        <w:tc>
          <w:tcPr>
            <w:tcW w:w="684" w:type="dxa"/>
            <w:vAlign w:val="center"/>
          </w:tcPr>
          <w:p w14:paraId="1D81EA22" w14:textId="77777777" w:rsidR="008D1374" w:rsidRDefault="008D1374" w:rsidP="00BF76C3">
            <w:pPr>
              <w:jc w:val="center"/>
              <w:rPr>
                <w:b/>
                <w:bCs/>
                <w:color w:val="0000FF"/>
                <w:sz w:val="22"/>
              </w:rPr>
            </w:pPr>
            <w:r>
              <w:rPr>
                <w:b/>
                <w:bCs/>
                <w:color w:val="0000FF"/>
                <w:sz w:val="22"/>
              </w:rPr>
              <w:t>Line</w:t>
            </w:r>
          </w:p>
        </w:tc>
        <w:tc>
          <w:tcPr>
            <w:tcW w:w="684" w:type="dxa"/>
            <w:tcBorders>
              <w:right w:val="single" w:sz="4" w:space="0" w:color="auto"/>
            </w:tcBorders>
            <w:vAlign w:val="center"/>
          </w:tcPr>
          <w:p w14:paraId="1BFFE5A8" w14:textId="77777777" w:rsidR="008D1374" w:rsidRPr="00C635BB" w:rsidRDefault="008D1374" w:rsidP="00BF76C3">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31A2690" w14:textId="77777777" w:rsidR="008D1374" w:rsidRPr="0051693F" w:rsidRDefault="008D1374" w:rsidP="00BF76C3">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5D46358E" w14:textId="77777777" w:rsidR="008D1374" w:rsidRPr="00C635BB" w:rsidRDefault="008D1374" w:rsidP="00BF76C3">
            <w:pPr>
              <w:jc w:val="center"/>
              <w:rPr>
                <w:rFonts w:cs="Arial"/>
                <w:sz w:val="22"/>
                <w:szCs w:val="22"/>
              </w:rPr>
            </w:pPr>
            <w:r>
              <w:rPr>
                <w:b/>
                <w:bCs/>
                <w:color w:val="0000FF"/>
                <w:sz w:val="22"/>
              </w:rPr>
              <w:t>Source of Comment (Name/Agency)</w:t>
            </w:r>
          </w:p>
        </w:tc>
        <w:tc>
          <w:tcPr>
            <w:tcW w:w="2700" w:type="dxa"/>
            <w:vAlign w:val="center"/>
          </w:tcPr>
          <w:p w14:paraId="69818138" w14:textId="77777777" w:rsidR="008D1374" w:rsidRDefault="008D1374" w:rsidP="00BF76C3">
            <w:pPr>
              <w:jc w:val="center"/>
            </w:pPr>
            <w:r>
              <w:rPr>
                <w:b/>
                <w:bCs/>
                <w:color w:val="0000FF"/>
                <w:sz w:val="22"/>
              </w:rPr>
              <w:t>Suggested Disposition</w:t>
            </w:r>
          </w:p>
        </w:tc>
        <w:tc>
          <w:tcPr>
            <w:tcW w:w="2079" w:type="dxa"/>
            <w:vAlign w:val="center"/>
          </w:tcPr>
          <w:p w14:paraId="28472C1E" w14:textId="77777777" w:rsidR="008D1374" w:rsidRDefault="008D1374" w:rsidP="00BF76C3">
            <w:pPr>
              <w:jc w:val="center"/>
              <w:rPr>
                <w:b/>
                <w:bCs/>
                <w:color w:val="0000FF"/>
                <w:sz w:val="22"/>
              </w:rPr>
            </w:pPr>
            <w:r>
              <w:rPr>
                <w:b/>
                <w:bCs/>
                <w:color w:val="0000FF"/>
                <w:sz w:val="22"/>
              </w:rPr>
              <w:t>Final Disposition</w:t>
            </w:r>
          </w:p>
          <w:p w14:paraId="4D744E85" w14:textId="77777777" w:rsidR="008D1374" w:rsidRPr="00C635BB" w:rsidRDefault="008D1374" w:rsidP="00BF76C3">
            <w:pPr>
              <w:jc w:val="center"/>
            </w:pPr>
            <w:r>
              <w:rPr>
                <w:b/>
                <w:bCs/>
                <w:color w:val="0000FF"/>
                <w:sz w:val="22"/>
              </w:rPr>
              <w:t>(</w:t>
            </w:r>
            <w:r w:rsidRPr="00D16072">
              <w:rPr>
                <w:b/>
                <w:bCs/>
                <w:color w:val="0000FF"/>
                <w:sz w:val="22"/>
                <w:u w:val="single"/>
              </w:rPr>
              <w:t>Do Not Fill In</w:t>
            </w:r>
            <w:r>
              <w:rPr>
                <w:b/>
                <w:bCs/>
                <w:color w:val="0000FF"/>
                <w:sz w:val="22"/>
              </w:rPr>
              <w:t>)</w:t>
            </w:r>
          </w:p>
        </w:tc>
      </w:tr>
      <w:tr w:rsidR="008D1374" w:rsidRPr="008D1374" w14:paraId="5D3E0743" w14:textId="77777777" w:rsidTr="00BF76C3">
        <w:trPr>
          <w:jc w:val="center"/>
        </w:trPr>
        <w:tc>
          <w:tcPr>
            <w:tcW w:w="810" w:type="dxa"/>
          </w:tcPr>
          <w:p w14:paraId="31E94958" w14:textId="77777777" w:rsidR="008D1374" w:rsidRPr="008D1374" w:rsidRDefault="008D1374" w:rsidP="00BF76C3">
            <w:pPr>
              <w:rPr>
                <w:rFonts w:cs="Arial"/>
              </w:rPr>
            </w:pPr>
            <w:r w:rsidRPr="008D1374">
              <w:rPr>
                <w:rFonts w:cs="Arial"/>
              </w:rPr>
              <w:t>4-18</w:t>
            </w:r>
          </w:p>
        </w:tc>
        <w:tc>
          <w:tcPr>
            <w:tcW w:w="1062" w:type="dxa"/>
          </w:tcPr>
          <w:p w14:paraId="5DAF8A76" w14:textId="77777777" w:rsidR="008D1374" w:rsidRPr="008D1374" w:rsidRDefault="008D1374" w:rsidP="00BF76C3">
            <w:pPr>
              <w:rPr>
                <w:rFonts w:cs="Arial"/>
              </w:rPr>
            </w:pPr>
            <w:r w:rsidRPr="008D1374">
              <w:rPr>
                <w:rFonts w:cs="Arial"/>
              </w:rPr>
              <w:t>4.2.2</w:t>
            </w:r>
          </w:p>
        </w:tc>
        <w:tc>
          <w:tcPr>
            <w:tcW w:w="684" w:type="dxa"/>
          </w:tcPr>
          <w:p w14:paraId="325FCB60" w14:textId="77777777" w:rsidR="008D1374" w:rsidRPr="008D1374" w:rsidRDefault="008D1374" w:rsidP="00BF76C3">
            <w:pPr>
              <w:rPr>
                <w:rFonts w:cs="Arial"/>
              </w:rPr>
            </w:pPr>
            <w:r w:rsidRPr="008D1374">
              <w:rPr>
                <w:rFonts w:cs="Arial"/>
              </w:rPr>
              <w:t>4</w:t>
            </w:r>
            <w:r w:rsidRPr="008D1374">
              <w:rPr>
                <w:rFonts w:cs="Arial"/>
                <w:vertAlign w:val="superscript"/>
              </w:rPr>
              <w:t>th</w:t>
            </w:r>
            <w:r w:rsidRPr="008D1374">
              <w:rPr>
                <w:rFonts w:cs="Arial"/>
              </w:rPr>
              <w:t xml:space="preserve"> from Last</w:t>
            </w:r>
          </w:p>
        </w:tc>
        <w:tc>
          <w:tcPr>
            <w:tcW w:w="684" w:type="dxa"/>
            <w:tcBorders>
              <w:right w:val="single" w:sz="4" w:space="0" w:color="auto"/>
            </w:tcBorders>
          </w:tcPr>
          <w:p w14:paraId="2009FB0B" w14:textId="77777777" w:rsidR="008D1374" w:rsidRPr="008D1374" w:rsidRDefault="008D1374" w:rsidP="00BF76C3">
            <w:pPr>
              <w:rPr>
                <w:rFonts w:cs="Arial"/>
              </w:rPr>
            </w:pPr>
            <w:r w:rsidRPr="008D1374">
              <w:rPr>
                <w:rFonts w:cs="Arial"/>
              </w:rPr>
              <w:t>Add</w:t>
            </w:r>
          </w:p>
        </w:tc>
        <w:tc>
          <w:tcPr>
            <w:tcW w:w="3771" w:type="dxa"/>
            <w:tcBorders>
              <w:top w:val="single" w:sz="4" w:space="0" w:color="auto"/>
              <w:left w:val="single" w:sz="4" w:space="0" w:color="auto"/>
              <w:bottom w:val="single" w:sz="4" w:space="0" w:color="auto"/>
              <w:right w:val="single" w:sz="4" w:space="0" w:color="auto"/>
            </w:tcBorders>
          </w:tcPr>
          <w:p w14:paraId="39F08E51" w14:textId="77777777" w:rsidR="008D1374" w:rsidRPr="008D1374" w:rsidRDefault="008D1374" w:rsidP="00BF76C3">
            <w:pPr>
              <w:spacing w:after="100" w:afterAutospacing="1"/>
              <w:rPr>
                <w:rFonts w:cs="Arial"/>
              </w:rPr>
            </w:pPr>
            <w:r w:rsidRPr="008D1374">
              <w:rPr>
                <w:rFonts w:cs="Arial"/>
              </w:rPr>
              <w:t>I’m assuming for now that mention of the proposed Orbit Hybrid Message is not desired at this point (?).  If it is, then all of the ODM-relevant content requires augmentation</w:t>
            </w:r>
          </w:p>
        </w:tc>
        <w:tc>
          <w:tcPr>
            <w:tcW w:w="2520" w:type="dxa"/>
            <w:tcBorders>
              <w:left w:val="single" w:sz="4" w:space="0" w:color="auto"/>
            </w:tcBorders>
          </w:tcPr>
          <w:p w14:paraId="5C90918A" w14:textId="77777777" w:rsidR="008D1374" w:rsidRPr="008D1374" w:rsidRDefault="008D1374" w:rsidP="00BF76C3">
            <w:pPr>
              <w:rPr>
                <w:rFonts w:cs="Arial"/>
              </w:rPr>
            </w:pPr>
            <w:r w:rsidRPr="008D1374">
              <w:rPr>
                <w:rFonts w:cs="Arial"/>
              </w:rPr>
              <w:t>NASA</w:t>
            </w:r>
          </w:p>
        </w:tc>
        <w:tc>
          <w:tcPr>
            <w:tcW w:w="2700" w:type="dxa"/>
          </w:tcPr>
          <w:p w14:paraId="312C4C5A" w14:textId="77777777" w:rsidR="008D1374" w:rsidRPr="008D1374" w:rsidRDefault="008D1374" w:rsidP="00BF76C3">
            <w:pPr>
              <w:rPr>
                <w:rFonts w:cs="Arial"/>
              </w:rPr>
            </w:pPr>
            <w:r w:rsidRPr="008D1374">
              <w:rPr>
                <w:rFonts w:cs="Arial"/>
              </w:rPr>
              <w:t>(add content)</w:t>
            </w:r>
          </w:p>
        </w:tc>
        <w:tc>
          <w:tcPr>
            <w:tcW w:w="2079" w:type="dxa"/>
          </w:tcPr>
          <w:p w14:paraId="0B79DDC8" w14:textId="77777777" w:rsidR="008D1374" w:rsidRPr="008D1374" w:rsidRDefault="008D1374" w:rsidP="00BF76C3">
            <w:pPr>
              <w:rPr>
                <w:rFonts w:cs="Arial"/>
              </w:rPr>
            </w:pPr>
            <w:r w:rsidRPr="008D1374">
              <w:rPr>
                <w:rFonts w:cs="Arial"/>
                <w:b/>
              </w:rPr>
              <w:t xml:space="preserve">Accepted. </w:t>
            </w:r>
            <w:r w:rsidRPr="008D1374">
              <w:rPr>
                <w:rFonts w:cs="Arial"/>
              </w:rPr>
              <w:t>But, without details. Text was added to the ODM section (4.2.2) indicating that the document was under revision.</w:t>
            </w:r>
          </w:p>
        </w:tc>
      </w:tr>
      <w:tr w:rsidR="008D1374" w:rsidRPr="008D1374" w14:paraId="58A88153" w14:textId="77777777" w:rsidTr="00BF76C3">
        <w:trPr>
          <w:jc w:val="center"/>
        </w:trPr>
        <w:tc>
          <w:tcPr>
            <w:tcW w:w="810" w:type="dxa"/>
          </w:tcPr>
          <w:p w14:paraId="2FA98BBA" w14:textId="77777777" w:rsidR="008D1374" w:rsidRPr="008D1374" w:rsidRDefault="008D1374" w:rsidP="00BF76C3">
            <w:pPr>
              <w:rPr>
                <w:rFonts w:cs="Arial"/>
              </w:rPr>
            </w:pPr>
            <w:r w:rsidRPr="008D1374">
              <w:rPr>
                <w:rFonts w:cs="Arial"/>
              </w:rPr>
              <w:t>4-19</w:t>
            </w:r>
          </w:p>
        </w:tc>
        <w:tc>
          <w:tcPr>
            <w:tcW w:w="1062" w:type="dxa"/>
          </w:tcPr>
          <w:p w14:paraId="1662381D" w14:textId="77777777" w:rsidR="008D1374" w:rsidRPr="008D1374" w:rsidRDefault="008D1374" w:rsidP="00BF76C3">
            <w:pPr>
              <w:rPr>
                <w:rFonts w:cs="Arial"/>
              </w:rPr>
            </w:pPr>
            <w:r w:rsidRPr="008D1374">
              <w:rPr>
                <w:rFonts w:cs="Arial"/>
              </w:rPr>
              <w:t>4.2.2</w:t>
            </w:r>
          </w:p>
        </w:tc>
        <w:tc>
          <w:tcPr>
            <w:tcW w:w="684" w:type="dxa"/>
          </w:tcPr>
          <w:p w14:paraId="510F6655" w14:textId="77777777" w:rsidR="008D1374" w:rsidRPr="008D1374" w:rsidRDefault="008D1374" w:rsidP="00BF76C3">
            <w:pPr>
              <w:rPr>
                <w:rFonts w:cs="Arial"/>
              </w:rPr>
            </w:pPr>
          </w:p>
        </w:tc>
        <w:tc>
          <w:tcPr>
            <w:tcW w:w="684" w:type="dxa"/>
            <w:tcBorders>
              <w:right w:val="single" w:sz="4" w:space="0" w:color="auto"/>
            </w:tcBorders>
          </w:tcPr>
          <w:p w14:paraId="56D5B4C0" w14:textId="77777777" w:rsidR="008D1374" w:rsidRPr="008D1374" w:rsidRDefault="008D1374" w:rsidP="00BF76C3">
            <w:pPr>
              <w:rPr>
                <w:rFonts w:cs="Arial"/>
              </w:rPr>
            </w:pPr>
            <w:r w:rsidRPr="008D1374">
              <w:rPr>
                <w:rFonts w:cs="Arial"/>
              </w:rPr>
              <w:t>Delete</w:t>
            </w:r>
          </w:p>
        </w:tc>
        <w:tc>
          <w:tcPr>
            <w:tcW w:w="3771" w:type="dxa"/>
            <w:tcBorders>
              <w:top w:val="single" w:sz="4" w:space="0" w:color="auto"/>
              <w:left w:val="single" w:sz="4" w:space="0" w:color="auto"/>
              <w:bottom w:val="single" w:sz="4" w:space="0" w:color="auto"/>
              <w:right w:val="single" w:sz="4" w:space="0" w:color="auto"/>
            </w:tcBorders>
          </w:tcPr>
          <w:p w14:paraId="5F841CD7" w14:textId="77777777" w:rsidR="008D1374" w:rsidRPr="008D1374" w:rsidRDefault="008D1374" w:rsidP="00BF76C3">
            <w:pPr>
              <w:spacing w:after="100" w:afterAutospacing="1"/>
              <w:rPr>
                <w:rFonts w:cs="Arial"/>
              </w:rPr>
            </w:pPr>
            <w:r w:rsidRPr="008D1374">
              <w:rPr>
                <w:rFonts w:cs="Arial"/>
              </w:rPr>
              <w:t xml:space="preserve">The sentence “Neither the OPM nor OMM is designed for higher fidelity dynamic modeling.” Is relative and misleading.  An OPM is a way to specify a state vector that can be extracted from a HIGHLY accurate simulation or OD, just as mean elements can be from an accurate (albeit not quite as accurate) simulation.  There is nothing inherently low- or medium- fidelity about sharing state vectors.  </w:t>
            </w:r>
          </w:p>
        </w:tc>
        <w:tc>
          <w:tcPr>
            <w:tcW w:w="2520" w:type="dxa"/>
            <w:tcBorders>
              <w:left w:val="single" w:sz="4" w:space="0" w:color="auto"/>
            </w:tcBorders>
          </w:tcPr>
          <w:p w14:paraId="6A533DF1" w14:textId="77777777" w:rsidR="008D1374" w:rsidRPr="008D1374" w:rsidRDefault="008D1374" w:rsidP="00BF76C3">
            <w:pPr>
              <w:rPr>
                <w:rFonts w:cs="Arial"/>
              </w:rPr>
            </w:pPr>
            <w:r w:rsidRPr="008D1374">
              <w:rPr>
                <w:rFonts w:cs="Arial"/>
              </w:rPr>
              <w:t>NASA</w:t>
            </w:r>
          </w:p>
        </w:tc>
        <w:tc>
          <w:tcPr>
            <w:tcW w:w="2700" w:type="dxa"/>
          </w:tcPr>
          <w:p w14:paraId="167C3E97" w14:textId="77777777" w:rsidR="008D1374" w:rsidRPr="008D1374" w:rsidRDefault="008D1374" w:rsidP="00BF76C3">
            <w:pPr>
              <w:rPr>
                <w:rFonts w:cs="Arial"/>
              </w:rPr>
            </w:pPr>
            <w:r w:rsidRPr="008D1374">
              <w:rPr>
                <w:rFonts w:cs="Arial"/>
              </w:rPr>
              <w:t>Recommend that this sentence simply be deleted.</w:t>
            </w:r>
          </w:p>
        </w:tc>
        <w:tc>
          <w:tcPr>
            <w:tcW w:w="2079" w:type="dxa"/>
          </w:tcPr>
          <w:p w14:paraId="3779D9E2" w14:textId="09C9D6F2" w:rsidR="008D1374" w:rsidRPr="00A32F9D" w:rsidRDefault="00A32F9D" w:rsidP="00A32F9D">
            <w:pPr>
              <w:rPr>
                <w:rFonts w:cs="Arial"/>
              </w:rPr>
            </w:pPr>
            <w:r>
              <w:rPr>
                <w:rFonts w:cs="Arial"/>
                <w:b/>
              </w:rPr>
              <w:t>Partially a</w:t>
            </w:r>
            <w:r w:rsidR="0057210C" w:rsidRPr="0057210C">
              <w:rPr>
                <w:rFonts w:cs="Arial"/>
                <w:b/>
              </w:rPr>
              <w:t>ccepted.</w:t>
            </w:r>
            <w:r>
              <w:rPr>
                <w:rFonts w:cs="Arial"/>
                <w:b/>
              </w:rPr>
              <w:t xml:space="preserve"> </w:t>
            </w:r>
            <w:r w:rsidRPr="00A32F9D">
              <w:rPr>
                <w:rFonts w:cs="Arial"/>
              </w:rPr>
              <w:t>Mo</w:t>
            </w:r>
            <w:r>
              <w:rPr>
                <w:rFonts w:cs="Arial"/>
              </w:rPr>
              <w:t>dified the statement to make it clear that “high fidelity” refers to the use of the state, not its generation.</w:t>
            </w:r>
          </w:p>
        </w:tc>
      </w:tr>
      <w:tr w:rsidR="008D1374" w:rsidRPr="008D1374" w14:paraId="0A8C7350" w14:textId="77777777" w:rsidTr="00BF76C3">
        <w:trPr>
          <w:jc w:val="center"/>
        </w:trPr>
        <w:tc>
          <w:tcPr>
            <w:tcW w:w="810" w:type="dxa"/>
          </w:tcPr>
          <w:p w14:paraId="53763F44" w14:textId="77777777" w:rsidR="008D1374" w:rsidRPr="008D1374" w:rsidRDefault="008D1374" w:rsidP="00BF76C3">
            <w:pPr>
              <w:rPr>
                <w:rFonts w:cs="Arial"/>
              </w:rPr>
            </w:pPr>
            <w:r w:rsidRPr="008D1374">
              <w:rPr>
                <w:rFonts w:cs="Arial"/>
              </w:rPr>
              <w:t>4-19</w:t>
            </w:r>
          </w:p>
        </w:tc>
        <w:tc>
          <w:tcPr>
            <w:tcW w:w="1062" w:type="dxa"/>
          </w:tcPr>
          <w:p w14:paraId="7A66060A" w14:textId="77777777" w:rsidR="008D1374" w:rsidRPr="008D1374" w:rsidRDefault="008D1374" w:rsidP="00BF76C3">
            <w:pPr>
              <w:rPr>
                <w:rFonts w:cs="Arial"/>
              </w:rPr>
            </w:pPr>
            <w:r w:rsidRPr="008D1374">
              <w:rPr>
                <w:rFonts w:cs="Arial"/>
              </w:rPr>
              <w:t>4.2.2</w:t>
            </w:r>
          </w:p>
        </w:tc>
        <w:tc>
          <w:tcPr>
            <w:tcW w:w="684" w:type="dxa"/>
          </w:tcPr>
          <w:p w14:paraId="3702B4E1" w14:textId="77777777" w:rsidR="008D1374" w:rsidRPr="008D1374" w:rsidRDefault="008D1374" w:rsidP="00BF76C3">
            <w:pPr>
              <w:rPr>
                <w:rFonts w:cs="Arial"/>
              </w:rPr>
            </w:pPr>
            <w:r w:rsidRPr="008D1374">
              <w:rPr>
                <w:rFonts w:cs="Arial"/>
              </w:rPr>
              <w:t>7</w:t>
            </w:r>
          </w:p>
        </w:tc>
        <w:tc>
          <w:tcPr>
            <w:tcW w:w="684" w:type="dxa"/>
            <w:tcBorders>
              <w:right w:val="single" w:sz="4" w:space="0" w:color="auto"/>
            </w:tcBorders>
          </w:tcPr>
          <w:p w14:paraId="7DE1F054" w14:textId="77777777" w:rsidR="008D1374" w:rsidRPr="008D1374" w:rsidRDefault="008D1374" w:rsidP="00BF76C3">
            <w:pPr>
              <w:rPr>
                <w:rFonts w:cs="Arial"/>
              </w:rPr>
            </w:pPr>
            <w:r w:rsidRPr="008D1374">
              <w:rPr>
                <w:rFonts w:cs="Arial"/>
              </w:rPr>
              <w:t>Delete</w:t>
            </w:r>
          </w:p>
        </w:tc>
        <w:tc>
          <w:tcPr>
            <w:tcW w:w="3771" w:type="dxa"/>
            <w:tcBorders>
              <w:top w:val="single" w:sz="4" w:space="0" w:color="auto"/>
              <w:left w:val="single" w:sz="4" w:space="0" w:color="auto"/>
              <w:bottom w:val="single" w:sz="4" w:space="0" w:color="auto"/>
              <w:right w:val="single" w:sz="4" w:space="0" w:color="auto"/>
            </w:tcBorders>
          </w:tcPr>
          <w:p w14:paraId="5FCDC97D" w14:textId="77777777" w:rsidR="008D1374" w:rsidRPr="008D1374" w:rsidRDefault="008D1374" w:rsidP="00BF76C3">
            <w:pPr>
              <w:spacing w:after="100" w:afterAutospacing="1"/>
              <w:rPr>
                <w:rFonts w:cs="Arial"/>
              </w:rPr>
            </w:pPr>
            <w:r w:rsidRPr="008D1374">
              <w:rPr>
                <w:rFonts w:cs="Arial"/>
              </w:rPr>
              <w:t xml:space="preserve">Any reference to “finite maneuvers” is incorrect (with document in current state) and should be removed.  The ODMs do </w:t>
            </w:r>
            <w:r w:rsidRPr="008D1374">
              <w:rPr>
                <w:rFonts w:cs="Arial"/>
              </w:rPr>
              <w:lastRenderedPageBreak/>
              <w:t xml:space="preserve">not actually contain any traditional specification of finite burns as the ODM does not allow and standardize the specification of thrust, </w:t>
            </w:r>
            <w:proofErr w:type="spellStart"/>
            <w:r w:rsidRPr="008D1374">
              <w:rPr>
                <w:rFonts w:cs="Arial"/>
              </w:rPr>
              <w:t>Isp</w:t>
            </w:r>
            <w:proofErr w:type="spellEnd"/>
            <w:r w:rsidRPr="008D1374">
              <w:rPr>
                <w:rFonts w:cs="Arial"/>
              </w:rPr>
              <w:t>, propulsive efficiency, etc.</w:t>
            </w:r>
          </w:p>
        </w:tc>
        <w:tc>
          <w:tcPr>
            <w:tcW w:w="2520" w:type="dxa"/>
            <w:tcBorders>
              <w:left w:val="single" w:sz="4" w:space="0" w:color="auto"/>
            </w:tcBorders>
          </w:tcPr>
          <w:p w14:paraId="74B7ADBA" w14:textId="77777777" w:rsidR="008D1374" w:rsidRPr="008D1374" w:rsidRDefault="008D1374" w:rsidP="00BF76C3">
            <w:pPr>
              <w:rPr>
                <w:rFonts w:cs="Arial"/>
              </w:rPr>
            </w:pPr>
            <w:r w:rsidRPr="008D1374">
              <w:rPr>
                <w:rFonts w:cs="Arial"/>
              </w:rPr>
              <w:lastRenderedPageBreak/>
              <w:t>NASA</w:t>
            </w:r>
          </w:p>
        </w:tc>
        <w:tc>
          <w:tcPr>
            <w:tcW w:w="2700" w:type="dxa"/>
          </w:tcPr>
          <w:p w14:paraId="4590B94C" w14:textId="77777777" w:rsidR="008D1374" w:rsidRPr="008D1374" w:rsidRDefault="008D1374" w:rsidP="00BF76C3">
            <w:pPr>
              <w:rPr>
                <w:rFonts w:cs="Arial"/>
              </w:rPr>
            </w:pPr>
            <w:r w:rsidRPr="008D1374">
              <w:rPr>
                <w:rFonts w:cs="Arial"/>
              </w:rPr>
              <w:t xml:space="preserve">Remove current references to finite maneuvers *OR* insert the OHM (which does </w:t>
            </w:r>
            <w:r w:rsidRPr="008D1374">
              <w:rPr>
                <w:rFonts w:cs="Arial"/>
              </w:rPr>
              <w:lastRenderedPageBreak/>
              <w:t>have full finite maneuver specification capability) and modify Green Book accordingly.  Also recommend “fixing” the OPM specification to also allow true finite burns or remove from OPM.</w:t>
            </w:r>
          </w:p>
        </w:tc>
        <w:tc>
          <w:tcPr>
            <w:tcW w:w="2079" w:type="dxa"/>
          </w:tcPr>
          <w:p w14:paraId="5C2174D8" w14:textId="58E1A6BA" w:rsidR="008D1374" w:rsidRPr="00CB4DE0" w:rsidRDefault="00CB4DE0" w:rsidP="00CB4DE0">
            <w:pPr>
              <w:rPr>
                <w:rFonts w:cs="Arial"/>
              </w:rPr>
            </w:pPr>
            <w:r w:rsidRPr="00CB4DE0">
              <w:rPr>
                <w:rFonts w:cs="Arial"/>
                <w:b/>
              </w:rPr>
              <w:lastRenderedPageBreak/>
              <w:t>Partially accepted.</w:t>
            </w:r>
            <w:r>
              <w:rPr>
                <w:rFonts w:cs="Arial"/>
                <w:b/>
              </w:rPr>
              <w:t xml:space="preserve"> </w:t>
            </w:r>
            <w:r>
              <w:rPr>
                <w:rFonts w:cs="Arial"/>
              </w:rPr>
              <w:t xml:space="preserve">Modified it to clarify that a maneuver </w:t>
            </w:r>
            <w:r>
              <w:rPr>
                <w:rFonts w:cs="Arial"/>
              </w:rPr>
              <w:lastRenderedPageBreak/>
              <w:t>design is not a full design.</w:t>
            </w:r>
          </w:p>
        </w:tc>
      </w:tr>
      <w:tr w:rsidR="008D1374" w:rsidRPr="008D1374" w14:paraId="02F333F1" w14:textId="77777777" w:rsidTr="00BF76C3">
        <w:trPr>
          <w:jc w:val="center"/>
        </w:trPr>
        <w:tc>
          <w:tcPr>
            <w:tcW w:w="810" w:type="dxa"/>
          </w:tcPr>
          <w:p w14:paraId="49308CAB" w14:textId="77777777" w:rsidR="008D1374" w:rsidRPr="008D1374" w:rsidRDefault="008D1374" w:rsidP="00BF76C3">
            <w:pPr>
              <w:rPr>
                <w:rFonts w:cs="Arial"/>
              </w:rPr>
            </w:pPr>
            <w:r w:rsidRPr="008D1374">
              <w:rPr>
                <w:rFonts w:cs="Arial"/>
              </w:rPr>
              <w:lastRenderedPageBreak/>
              <w:t xml:space="preserve">4-19 </w:t>
            </w:r>
          </w:p>
        </w:tc>
        <w:tc>
          <w:tcPr>
            <w:tcW w:w="1062" w:type="dxa"/>
          </w:tcPr>
          <w:p w14:paraId="66915655" w14:textId="77777777" w:rsidR="008D1374" w:rsidRPr="008D1374" w:rsidRDefault="008D1374" w:rsidP="00BF76C3">
            <w:pPr>
              <w:rPr>
                <w:rFonts w:cs="Arial"/>
              </w:rPr>
            </w:pPr>
            <w:r w:rsidRPr="008D1374">
              <w:rPr>
                <w:rFonts w:cs="Arial"/>
              </w:rPr>
              <w:t>4.2.2</w:t>
            </w:r>
          </w:p>
        </w:tc>
        <w:tc>
          <w:tcPr>
            <w:tcW w:w="684" w:type="dxa"/>
          </w:tcPr>
          <w:p w14:paraId="70A9EF64" w14:textId="77777777" w:rsidR="008D1374" w:rsidRPr="008D1374" w:rsidRDefault="008D1374" w:rsidP="00BF76C3">
            <w:pPr>
              <w:rPr>
                <w:rFonts w:cs="Arial"/>
              </w:rPr>
            </w:pPr>
            <w:r w:rsidRPr="008D1374">
              <w:rPr>
                <w:rFonts w:cs="Arial"/>
              </w:rPr>
              <w:t>15-16</w:t>
            </w:r>
          </w:p>
        </w:tc>
        <w:tc>
          <w:tcPr>
            <w:tcW w:w="684" w:type="dxa"/>
            <w:tcBorders>
              <w:right w:val="single" w:sz="4" w:space="0" w:color="auto"/>
            </w:tcBorders>
          </w:tcPr>
          <w:p w14:paraId="4251BA7A" w14:textId="77777777" w:rsidR="008D1374" w:rsidRPr="008D1374" w:rsidRDefault="008D1374" w:rsidP="00BF76C3">
            <w:pPr>
              <w:rPr>
                <w:rFonts w:cs="Arial"/>
              </w:rPr>
            </w:pPr>
            <w:r w:rsidRPr="008D1374">
              <w:rPr>
                <w:rFonts w:cs="Arial"/>
              </w:rPr>
              <w:t>Delete</w:t>
            </w:r>
          </w:p>
        </w:tc>
        <w:tc>
          <w:tcPr>
            <w:tcW w:w="3771" w:type="dxa"/>
            <w:tcBorders>
              <w:top w:val="single" w:sz="4" w:space="0" w:color="auto"/>
              <w:left w:val="single" w:sz="4" w:space="0" w:color="auto"/>
              <w:bottom w:val="single" w:sz="4" w:space="0" w:color="auto"/>
              <w:right w:val="single" w:sz="4" w:space="0" w:color="auto"/>
            </w:tcBorders>
          </w:tcPr>
          <w:p w14:paraId="546BAA91" w14:textId="77777777" w:rsidR="008D1374" w:rsidRPr="008D1374" w:rsidRDefault="008D1374" w:rsidP="00BF76C3">
            <w:pPr>
              <w:spacing w:after="100" w:afterAutospacing="1"/>
              <w:rPr>
                <w:rFonts w:cs="Arial"/>
              </w:rPr>
            </w:pPr>
            <w:r w:rsidRPr="008D1374">
              <w:rPr>
                <w:rFonts w:cs="Arial"/>
              </w:rPr>
              <w:t>Again, statements such as “The OEM is the only ODM that supports a higher level of fidelity in the dynamic modeling” are misleading/incorrect and should be deleted.  OEMs introduce another potentially large inaccuracy of interpolation error (depending upon step size and method used.</w:t>
            </w:r>
          </w:p>
        </w:tc>
        <w:tc>
          <w:tcPr>
            <w:tcW w:w="2520" w:type="dxa"/>
            <w:tcBorders>
              <w:left w:val="single" w:sz="4" w:space="0" w:color="auto"/>
            </w:tcBorders>
          </w:tcPr>
          <w:p w14:paraId="417B6B1F" w14:textId="77777777" w:rsidR="008D1374" w:rsidRPr="008D1374" w:rsidRDefault="008D1374" w:rsidP="00BF76C3">
            <w:pPr>
              <w:rPr>
                <w:rFonts w:cs="Arial"/>
              </w:rPr>
            </w:pPr>
            <w:r w:rsidRPr="008D1374">
              <w:rPr>
                <w:rFonts w:cs="Arial"/>
              </w:rPr>
              <w:t>NASA</w:t>
            </w:r>
          </w:p>
        </w:tc>
        <w:tc>
          <w:tcPr>
            <w:tcW w:w="2700" w:type="dxa"/>
          </w:tcPr>
          <w:p w14:paraId="36C95410" w14:textId="77777777" w:rsidR="008D1374" w:rsidRPr="008D1374" w:rsidRDefault="008D1374" w:rsidP="00BF76C3">
            <w:pPr>
              <w:rPr>
                <w:rFonts w:cs="Arial"/>
              </w:rPr>
            </w:pPr>
            <w:r w:rsidRPr="008D1374">
              <w:rPr>
                <w:rFonts w:cs="Arial"/>
              </w:rPr>
              <w:t>Recommend that this sentence simply be deleted.  Also recommend adding interpolation best practices references into the ODM.</w:t>
            </w:r>
          </w:p>
        </w:tc>
        <w:tc>
          <w:tcPr>
            <w:tcW w:w="2079" w:type="dxa"/>
          </w:tcPr>
          <w:p w14:paraId="64AAAE72" w14:textId="346452A4" w:rsidR="008D1374" w:rsidRPr="001213C4" w:rsidRDefault="001213C4" w:rsidP="00BF76C3">
            <w:pPr>
              <w:rPr>
                <w:rFonts w:cs="Arial"/>
                <w:b/>
              </w:rPr>
            </w:pPr>
            <w:r w:rsidRPr="001213C4">
              <w:rPr>
                <w:rFonts w:cs="Arial"/>
                <w:b/>
              </w:rPr>
              <w:t>Accepted.</w:t>
            </w:r>
            <w:r>
              <w:rPr>
                <w:rFonts w:cs="Arial"/>
                <w:b/>
              </w:rPr>
              <w:t xml:space="preserve"> </w:t>
            </w:r>
            <w:r w:rsidRPr="001213C4">
              <w:rPr>
                <w:rFonts w:cs="Arial"/>
              </w:rPr>
              <w:t>De</w:t>
            </w:r>
            <w:r>
              <w:rPr>
                <w:rFonts w:cs="Arial"/>
              </w:rPr>
              <w:t>leted the statement. Note that the interpolation discussion is not appropriate for the ODM. But, it will be okay in the Green Book Vol. 2.</w:t>
            </w:r>
          </w:p>
        </w:tc>
      </w:tr>
      <w:tr w:rsidR="008D1374" w:rsidRPr="008D1374" w14:paraId="0EAC1A04" w14:textId="77777777" w:rsidTr="00BF76C3">
        <w:trPr>
          <w:jc w:val="center"/>
        </w:trPr>
        <w:tc>
          <w:tcPr>
            <w:tcW w:w="810" w:type="dxa"/>
          </w:tcPr>
          <w:p w14:paraId="471C66F0" w14:textId="77777777" w:rsidR="008D1374" w:rsidRPr="008D1374" w:rsidRDefault="008D1374" w:rsidP="00BF76C3">
            <w:pPr>
              <w:rPr>
                <w:rFonts w:cs="Arial"/>
              </w:rPr>
            </w:pPr>
            <w:r w:rsidRPr="008D1374">
              <w:rPr>
                <w:rFonts w:cs="Arial"/>
              </w:rPr>
              <w:t>4-19</w:t>
            </w:r>
          </w:p>
        </w:tc>
        <w:tc>
          <w:tcPr>
            <w:tcW w:w="1062" w:type="dxa"/>
          </w:tcPr>
          <w:p w14:paraId="27A5DC7C" w14:textId="77777777" w:rsidR="008D1374" w:rsidRPr="008D1374" w:rsidRDefault="008D1374" w:rsidP="00BF76C3">
            <w:pPr>
              <w:rPr>
                <w:rFonts w:cs="Arial"/>
              </w:rPr>
            </w:pPr>
            <w:r w:rsidRPr="008D1374">
              <w:rPr>
                <w:rFonts w:cs="Arial"/>
              </w:rPr>
              <w:t>4.2.2</w:t>
            </w:r>
          </w:p>
        </w:tc>
        <w:tc>
          <w:tcPr>
            <w:tcW w:w="684" w:type="dxa"/>
          </w:tcPr>
          <w:p w14:paraId="21083C9E" w14:textId="77777777" w:rsidR="008D1374" w:rsidRPr="008D1374" w:rsidRDefault="008D1374" w:rsidP="00BF76C3">
            <w:pPr>
              <w:rPr>
                <w:rFonts w:cs="Arial"/>
              </w:rPr>
            </w:pPr>
            <w:r w:rsidRPr="008D1374">
              <w:rPr>
                <w:rFonts w:cs="Arial"/>
              </w:rPr>
              <w:t>24-25</w:t>
            </w:r>
          </w:p>
        </w:tc>
        <w:tc>
          <w:tcPr>
            <w:tcW w:w="684" w:type="dxa"/>
            <w:tcBorders>
              <w:right w:val="single" w:sz="4" w:space="0" w:color="auto"/>
            </w:tcBorders>
          </w:tcPr>
          <w:p w14:paraId="540A3C62" w14:textId="77777777" w:rsidR="008D1374" w:rsidRPr="008D1374" w:rsidRDefault="008D1374" w:rsidP="00BF76C3">
            <w:pPr>
              <w:rPr>
                <w:rFonts w:cs="Arial"/>
              </w:rPr>
            </w:pPr>
            <w:r w:rsidRPr="008D1374">
              <w:rPr>
                <w:rFonts w:cs="Arial"/>
              </w:rPr>
              <w:t>Delete</w:t>
            </w:r>
          </w:p>
        </w:tc>
        <w:tc>
          <w:tcPr>
            <w:tcW w:w="3771" w:type="dxa"/>
            <w:tcBorders>
              <w:top w:val="single" w:sz="4" w:space="0" w:color="auto"/>
              <w:left w:val="single" w:sz="4" w:space="0" w:color="auto"/>
              <w:bottom w:val="single" w:sz="4" w:space="0" w:color="auto"/>
              <w:right w:val="single" w:sz="4" w:space="0" w:color="auto"/>
            </w:tcBorders>
          </w:tcPr>
          <w:p w14:paraId="27BB6447" w14:textId="77777777" w:rsidR="008D1374" w:rsidRPr="008D1374" w:rsidRDefault="008D1374" w:rsidP="00BF76C3">
            <w:pPr>
              <w:spacing w:after="100" w:afterAutospacing="1"/>
              <w:rPr>
                <w:rFonts w:cs="Arial"/>
              </w:rPr>
            </w:pPr>
            <w:r w:rsidRPr="008D1374">
              <w:rPr>
                <w:rFonts w:cs="Arial"/>
              </w:rPr>
              <w:t>Same as above; this should be removed.</w:t>
            </w:r>
          </w:p>
        </w:tc>
        <w:tc>
          <w:tcPr>
            <w:tcW w:w="2520" w:type="dxa"/>
            <w:tcBorders>
              <w:left w:val="single" w:sz="4" w:space="0" w:color="auto"/>
            </w:tcBorders>
          </w:tcPr>
          <w:p w14:paraId="5B02C81D" w14:textId="77777777" w:rsidR="008D1374" w:rsidRPr="008D1374" w:rsidRDefault="008D1374" w:rsidP="00BF76C3">
            <w:pPr>
              <w:rPr>
                <w:rFonts w:cs="Arial"/>
              </w:rPr>
            </w:pPr>
            <w:r w:rsidRPr="008D1374">
              <w:rPr>
                <w:rFonts w:cs="Arial"/>
              </w:rPr>
              <w:t>NASA</w:t>
            </w:r>
          </w:p>
        </w:tc>
        <w:tc>
          <w:tcPr>
            <w:tcW w:w="2700" w:type="dxa"/>
          </w:tcPr>
          <w:p w14:paraId="14C3F5F3" w14:textId="77777777" w:rsidR="008D1374" w:rsidRPr="008D1374" w:rsidRDefault="008D1374" w:rsidP="00BF76C3">
            <w:pPr>
              <w:rPr>
                <w:rFonts w:cs="Arial"/>
              </w:rPr>
            </w:pPr>
            <w:r w:rsidRPr="008D1374">
              <w:rPr>
                <w:rFonts w:cs="Arial"/>
              </w:rPr>
              <w:t>Recommend deleting “Multiple OPM, OMM, or OEM messages may be provided in a message exchange session requiring different levels of ephemeris fidelity.”</w:t>
            </w:r>
          </w:p>
        </w:tc>
        <w:tc>
          <w:tcPr>
            <w:tcW w:w="2079" w:type="dxa"/>
          </w:tcPr>
          <w:p w14:paraId="3CBF36F5" w14:textId="440DAB3C" w:rsidR="008D1374" w:rsidRPr="00C1736A" w:rsidRDefault="00C1736A" w:rsidP="00BF76C3">
            <w:pPr>
              <w:rPr>
                <w:rFonts w:cs="Arial"/>
                <w:b/>
              </w:rPr>
            </w:pPr>
            <w:r w:rsidRPr="00C1736A">
              <w:rPr>
                <w:rFonts w:cs="Arial"/>
                <w:b/>
              </w:rPr>
              <w:t>Accepted.</w:t>
            </w:r>
          </w:p>
        </w:tc>
      </w:tr>
      <w:tr w:rsidR="008D1374" w:rsidRPr="008D1374" w14:paraId="5BAE2822" w14:textId="77777777" w:rsidTr="00BF76C3">
        <w:trPr>
          <w:jc w:val="center"/>
        </w:trPr>
        <w:tc>
          <w:tcPr>
            <w:tcW w:w="810" w:type="dxa"/>
          </w:tcPr>
          <w:p w14:paraId="7B6ECA17" w14:textId="77777777" w:rsidR="008D1374" w:rsidRPr="008D1374" w:rsidRDefault="008D1374" w:rsidP="00BF76C3">
            <w:pPr>
              <w:rPr>
                <w:rFonts w:cs="Arial"/>
              </w:rPr>
            </w:pPr>
            <w:r w:rsidRPr="008D1374">
              <w:rPr>
                <w:rFonts w:cs="Arial"/>
              </w:rPr>
              <w:t>4-19</w:t>
            </w:r>
          </w:p>
        </w:tc>
        <w:tc>
          <w:tcPr>
            <w:tcW w:w="1062" w:type="dxa"/>
          </w:tcPr>
          <w:p w14:paraId="644BCEDD" w14:textId="77777777" w:rsidR="008D1374" w:rsidRPr="008D1374" w:rsidRDefault="008D1374" w:rsidP="00BF76C3">
            <w:pPr>
              <w:rPr>
                <w:rFonts w:cs="Arial"/>
              </w:rPr>
            </w:pPr>
            <w:r w:rsidRPr="008D1374">
              <w:rPr>
                <w:rFonts w:cs="Arial"/>
              </w:rPr>
              <w:t>4.2.2</w:t>
            </w:r>
          </w:p>
        </w:tc>
        <w:tc>
          <w:tcPr>
            <w:tcW w:w="684" w:type="dxa"/>
          </w:tcPr>
          <w:p w14:paraId="4B4BCD86" w14:textId="77777777" w:rsidR="008D1374" w:rsidRPr="008D1374" w:rsidRDefault="008D1374" w:rsidP="00BF76C3">
            <w:pPr>
              <w:rPr>
                <w:rFonts w:cs="Arial"/>
              </w:rPr>
            </w:pPr>
            <w:r w:rsidRPr="008D1374">
              <w:rPr>
                <w:rFonts w:cs="Arial"/>
              </w:rPr>
              <w:t>26-28</w:t>
            </w:r>
          </w:p>
        </w:tc>
        <w:tc>
          <w:tcPr>
            <w:tcW w:w="684" w:type="dxa"/>
            <w:tcBorders>
              <w:right w:val="single" w:sz="4" w:space="0" w:color="auto"/>
            </w:tcBorders>
          </w:tcPr>
          <w:p w14:paraId="36187455" w14:textId="77777777" w:rsidR="008D1374" w:rsidRPr="008D1374" w:rsidRDefault="008D1374" w:rsidP="00BF76C3">
            <w:pPr>
              <w:rPr>
                <w:rFonts w:cs="Arial"/>
              </w:rPr>
            </w:pPr>
            <w:r w:rsidRPr="008D1374">
              <w:rPr>
                <w:rFonts w:cs="Arial"/>
              </w:rPr>
              <w:t>Delete</w:t>
            </w:r>
          </w:p>
        </w:tc>
        <w:tc>
          <w:tcPr>
            <w:tcW w:w="3771" w:type="dxa"/>
            <w:tcBorders>
              <w:top w:val="single" w:sz="4" w:space="0" w:color="auto"/>
              <w:left w:val="single" w:sz="4" w:space="0" w:color="auto"/>
              <w:bottom w:val="single" w:sz="4" w:space="0" w:color="auto"/>
              <w:right w:val="single" w:sz="4" w:space="0" w:color="auto"/>
            </w:tcBorders>
          </w:tcPr>
          <w:p w14:paraId="6333B4DF" w14:textId="77777777" w:rsidR="008D1374" w:rsidRPr="008D1374" w:rsidRDefault="008D1374" w:rsidP="00BF76C3">
            <w:pPr>
              <w:spacing w:after="100" w:afterAutospacing="1"/>
              <w:rPr>
                <w:rFonts w:cs="Arial"/>
              </w:rPr>
            </w:pPr>
            <w:r w:rsidRPr="008D1374">
              <w:rPr>
                <w:rFonts w:cs="Arial"/>
              </w:rPr>
              <w:t>Same as above; this should be removed</w:t>
            </w:r>
          </w:p>
        </w:tc>
        <w:tc>
          <w:tcPr>
            <w:tcW w:w="2520" w:type="dxa"/>
            <w:tcBorders>
              <w:left w:val="single" w:sz="4" w:space="0" w:color="auto"/>
            </w:tcBorders>
          </w:tcPr>
          <w:p w14:paraId="51AEC09A" w14:textId="77777777" w:rsidR="008D1374" w:rsidRPr="008D1374" w:rsidRDefault="008D1374" w:rsidP="00BF76C3">
            <w:pPr>
              <w:rPr>
                <w:rFonts w:cs="Arial"/>
              </w:rPr>
            </w:pPr>
            <w:r w:rsidRPr="008D1374">
              <w:rPr>
                <w:rFonts w:cs="Arial"/>
              </w:rPr>
              <w:t>NASA</w:t>
            </w:r>
          </w:p>
        </w:tc>
        <w:tc>
          <w:tcPr>
            <w:tcW w:w="2700" w:type="dxa"/>
          </w:tcPr>
          <w:p w14:paraId="381FBBDF" w14:textId="77777777" w:rsidR="008D1374" w:rsidRPr="008D1374" w:rsidRDefault="008D1374" w:rsidP="00BF76C3">
            <w:pPr>
              <w:rPr>
                <w:rFonts w:cs="Arial"/>
              </w:rPr>
            </w:pPr>
            <w:r w:rsidRPr="008D1374">
              <w:rPr>
                <w:rFonts w:cs="Arial"/>
              </w:rPr>
              <w:t>Recommend deleting “A difference in the exchange scenario is that the OPM and OMM do not accommodate high-fidelity dynamic modeling, whereas the OEM does.”</w:t>
            </w:r>
          </w:p>
        </w:tc>
        <w:tc>
          <w:tcPr>
            <w:tcW w:w="2079" w:type="dxa"/>
          </w:tcPr>
          <w:p w14:paraId="34773161" w14:textId="595215F6" w:rsidR="008D1374" w:rsidRPr="002173B7" w:rsidRDefault="002173B7" w:rsidP="00BF76C3">
            <w:pPr>
              <w:rPr>
                <w:rFonts w:cs="Arial"/>
                <w:b/>
              </w:rPr>
            </w:pPr>
            <w:r w:rsidRPr="002173B7">
              <w:rPr>
                <w:rFonts w:cs="Arial"/>
                <w:b/>
              </w:rPr>
              <w:t>Accepted.</w:t>
            </w:r>
          </w:p>
        </w:tc>
      </w:tr>
      <w:tr w:rsidR="008D1374" w:rsidRPr="008D1374" w14:paraId="07D76DF1" w14:textId="77777777" w:rsidTr="00BF76C3">
        <w:trPr>
          <w:jc w:val="center"/>
        </w:trPr>
        <w:tc>
          <w:tcPr>
            <w:tcW w:w="810" w:type="dxa"/>
          </w:tcPr>
          <w:p w14:paraId="43468EA5" w14:textId="77777777" w:rsidR="008D1374" w:rsidRPr="008D1374" w:rsidRDefault="008D1374" w:rsidP="00BF76C3">
            <w:pPr>
              <w:rPr>
                <w:rFonts w:cs="Arial"/>
              </w:rPr>
            </w:pPr>
            <w:r w:rsidRPr="008D1374">
              <w:rPr>
                <w:rFonts w:cs="Arial"/>
              </w:rPr>
              <w:t>4-19</w:t>
            </w:r>
          </w:p>
        </w:tc>
        <w:tc>
          <w:tcPr>
            <w:tcW w:w="1062" w:type="dxa"/>
          </w:tcPr>
          <w:p w14:paraId="04DB382C" w14:textId="77777777" w:rsidR="008D1374" w:rsidRPr="008D1374" w:rsidRDefault="008D1374" w:rsidP="00BF76C3">
            <w:pPr>
              <w:rPr>
                <w:rFonts w:cs="Arial"/>
              </w:rPr>
            </w:pPr>
            <w:r w:rsidRPr="008D1374">
              <w:rPr>
                <w:rFonts w:cs="Arial"/>
              </w:rPr>
              <w:t>4.2.2</w:t>
            </w:r>
          </w:p>
        </w:tc>
        <w:tc>
          <w:tcPr>
            <w:tcW w:w="684" w:type="dxa"/>
          </w:tcPr>
          <w:p w14:paraId="6906967F" w14:textId="77777777" w:rsidR="008D1374" w:rsidRPr="008D1374" w:rsidRDefault="008D1374" w:rsidP="00BF76C3">
            <w:pPr>
              <w:rPr>
                <w:rFonts w:cs="Arial"/>
              </w:rPr>
            </w:pPr>
            <w:r w:rsidRPr="008D1374">
              <w:rPr>
                <w:rFonts w:cs="Arial"/>
              </w:rPr>
              <w:t>30-36</w:t>
            </w:r>
          </w:p>
        </w:tc>
        <w:tc>
          <w:tcPr>
            <w:tcW w:w="684" w:type="dxa"/>
            <w:tcBorders>
              <w:right w:val="single" w:sz="4" w:space="0" w:color="auto"/>
            </w:tcBorders>
          </w:tcPr>
          <w:p w14:paraId="3CC86DEA" w14:textId="77777777" w:rsidR="008D1374" w:rsidRPr="008D1374" w:rsidRDefault="008D1374" w:rsidP="00BF76C3">
            <w:pPr>
              <w:rPr>
                <w:rFonts w:cs="Arial"/>
              </w:rPr>
            </w:pPr>
            <w:r w:rsidRPr="008D1374">
              <w:rPr>
                <w:rFonts w:cs="Arial"/>
              </w:rPr>
              <w:t>Delete</w:t>
            </w:r>
          </w:p>
        </w:tc>
        <w:tc>
          <w:tcPr>
            <w:tcW w:w="3771" w:type="dxa"/>
            <w:tcBorders>
              <w:top w:val="single" w:sz="4" w:space="0" w:color="auto"/>
              <w:left w:val="single" w:sz="4" w:space="0" w:color="auto"/>
              <w:bottom w:val="single" w:sz="4" w:space="0" w:color="auto"/>
              <w:right w:val="single" w:sz="4" w:space="0" w:color="auto"/>
            </w:tcBorders>
          </w:tcPr>
          <w:p w14:paraId="702D736F" w14:textId="77777777" w:rsidR="008D1374" w:rsidRPr="008D1374" w:rsidRDefault="008D1374" w:rsidP="00BF76C3">
            <w:pPr>
              <w:tabs>
                <w:tab w:val="center" w:pos="2178"/>
                <w:tab w:val="left" w:pos="3200"/>
              </w:tabs>
              <w:spacing w:after="100" w:afterAutospacing="1"/>
              <w:rPr>
                <w:rFonts w:cs="Arial"/>
              </w:rPr>
            </w:pPr>
            <w:r w:rsidRPr="008D1374">
              <w:rPr>
                <w:rFonts w:cs="Arial"/>
              </w:rPr>
              <w:t>Force-model-matched propagation of osculating state vectors and ephemerides are equally able to support physical interaction.  Electromagnetic Interference can easily be supported by even lower-fidelity (again, a relative and nebulous term) data to include OMMs.</w:t>
            </w:r>
          </w:p>
        </w:tc>
        <w:tc>
          <w:tcPr>
            <w:tcW w:w="2520" w:type="dxa"/>
            <w:tcBorders>
              <w:left w:val="single" w:sz="4" w:space="0" w:color="auto"/>
            </w:tcBorders>
          </w:tcPr>
          <w:p w14:paraId="1AB269D4" w14:textId="77777777" w:rsidR="008D1374" w:rsidRPr="008D1374" w:rsidRDefault="008D1374" w:rsidP="00BF76C3">
            <w:pPr>
              <w:rPr>
                <w:rFonts w:cs="Arial"/>
              </w:rPr>
            </w:pPr>
            <w:r w:rsidRPr="008D1374">
              <w:rPr>
                <w:rFonts w:cs="Arial"/>
              </w:rPr>
              <w:t>NASA</w:t>
            </w:r>
          </w:p>
        </w:tc>
        <w:tc>
          <w:tcPr>
            <w:tcW w:w="2700" w:type="dxa"/>
          </w:tcPr>
          <w:p w14:paraId="4992B146" w14:textId="77777777" w:rsidR="008D1374" w:rsidRPr="008D1374" w:rsidRDefault="008D1374" w:rsidP="00BF76C3">
            <w:pPr>
              <w:jc w:val="center"/>
              <w:rPr>
                <w:rFonts w:cs="Arial"/>
              </w:rPr>
            </w:pPr>
            <w:r w:rsidRPr="008D1374">
              <w:rPr>
                <w:rFonts w:cs="Arial"/>
              </w:rPr>
              <w:t>Recommend deleting entire paragraph.</w:t>
            </w:r>
          </w:p>
        </w:tc>
        <w:tc>
          <w:tcPr>
            <w:tcW w:w="2079" w:type="dxa"/>
          </w:tcPr>
          <w:p w14:paraId="1BA79A4E" w14:textId="7AE006D7" w:rsidR="008D1374" w:rsidRPr="00BB7647" w:rsidRDefault="00BB7647" w:rsidP="00BF76C3">
            <w:pPr>
              <w:rPr>
                <w:rFonts w:cs="Arial"/>
                <w:b/>
              </w:rPr>
            </w:pPr>
            <w:r w:rsidRPr="00BB7647">
              <w:rPr>
                <w:rFonts w:cs="Arial"/>
                <w:b/>
              </w:rPr>
              <w:t>Accepted.</w:t>
            </w:r>
          </w:p>
        </w:tc>
      </w:tr>
      <w:tr w:rsidR="008D1374" w:rsidRPr="008D1374" w14:paraId="4EB2AC79" w14:textId="77777777" w:rsidTr="00720862">
        <w:trPr>
          <w:jc w:val="center"/>
        </w:trPr>
        <w:tc>
          <w:tcPr>
            <w:tcW w:w="810" w:type="dxa"/>
            <w:shd w:val="clear" w:color="auto" w:fill="F79646" w:themeFill="accent6"/>
          </w:tcPr>
          <w:p w14:paraId="6EA17497" w14:textId="77777777" w:rsidR="008D1374" w:rsidRPr="008D1374" w:rsidRDefault="008D1374" w:rsidP="00BF76C3">
            <w:pPr>
              <w:rPr>
                <w:rFonts w:cs="Arial"/>
              </w:rPr>
            </w:pPr>
            <w:r w:rsidRPr="008D1374">
              <w:rPr>
                <w:rFonts w:cs="Arial"/>
              </w:rPr>
              <w:lastRenderedPageBreak/>
              <w:t>4-26, 4-27</w:t>
            </w:r>
          </w:p>
        </w:tc>
        <w:tc>
          <w:tcPr>
            <w:tcW w:w="1062" w:type="dxa"/>
            <w:shd w:val="clear" w:color="auto" w:fill="F79646" w:themeFill="accent6"/>
          </w:tcPr>
          <w:p w14:paraId="4302ADFB" w14:textId="77777777" w:rsidR="008D1374" w:rsidRPr="008D1374" w:rsidRDefault="008D1374" w:rsidP="00BF76C3">
            <w:pPr>
              <w:rPr>
                <w:rFonts w:cs="Arial"/>
              </w:rPr>
            </w:pPr>
            <w:r w:rsidRPr="008D1374">
              <w:rPr>
                <w:rFonts w:cs="Arial"/>
              </w:rPr>
              <w:t>4.5</w:t>
            </w:r>
          </w:p>
        </w:tc>
        <w:tc>
          <w:tcPr>
            <w:tcW w:w="684" w:type="dxa"/>
            <w:shd w:val="clear" w:color="auto" w:fill="F79646" w:themeFill="accent6"/>
          </w:tcPr>
          <w:p w14:paraId="58D94A07" w14:textId="77777777" w:rsidR="008D1374" w:rsidRPr="008D1374" w:rsidRDefault="008D1374" w:rsidP="00BF76C3">
            <w:pPr>
              <w:rPr>
                <w:rFonts w:cs="Arial"/>
              </w:rPr>
            </w:pPr>
            <w:r w:rsidRPr="008D1374">
              <w:rPr>
                <w:rFonts w:cs="Arial"/>
              </w:rPr>
              <w:t>All</w:t>
            </w:r>
          </w:p>
        </w:tc>
        <w:tc>
          <w:tcPr>
            <w:tcW w:w="684" w:type="dxa"/>
            <w:tcBorders>
              <w:right w:val="single" w:sz="4" w:space="0" w:color="auto"/>
            </w:tcBorders>
            <w:shd w:val="clear" w:color="auto" w:fill="F79646" w:themeFill="accent6"/>
          </w:tcPr>
          <w:p w14:paraId="22F9D233" w14:textId="77777777" w:rsidR="008D1374" w:rsidRPr="008D1374" w:rsidRDefault="008D1374" w:rsidP="00BF76C3">
            <w:pPr>
              <w:rPr>
                <w:rFonts w:cs="Arial"/>
              </w:rPr>
            </w:pPr>
            <w:r w:rsidRPr="008D1374">
              <w:rPr>
                <w:rFonts w:cs="Arial"/>
              </w:rPr>
              <w:t>Add</w:t>
            </w:r>
          </w:p>
        </w:tc>
        <w:tc>
          <w:tcPr>
            <w:tcW w:w="3771" w:type="dxa"/>
            <w:tcBorders>
              <w:top w:val="single" w:sz="4" w:space="0" w:color="auto"/>
              <w:left w:val="single" w:sz="4" w:space="0" w:color="auto"/>
              <w:bottom w:val="single" w:sz="4" w:space="0" w:color="auto"/>
              <w:right w:val="single" w:sz="4" w:space="0" w:color="auto"/>
            </w:tcBorders>
            <w:shd w:val="clear" w:color="auto" w:fill="F79646" w:themeFill="accent6"/>
          </w:tcPr>
          <w:p w14:paraId="6501B854" w14:textId="77777777" w:rsidR="008D1374" w:rsidRPr="008D1374" w:rsidRDefault="008D1374" w:rsidP="00BF76C3">
            <w:pPr>
              <w:tabs>
                <w:tab w:val="left" w:pos="980"/>
              </w:tabs>
              <w:spacing w:after="100" w:afterAutospacing="1"/>
              <w:rPr>
                <w:rFonts w:cs="Arial"/>
                <w:lang w:val="en-GB"/>
              </w:rPr>
            </w:pPr>
            <w:r w:rsidRPr="008D1374">
              <w:rPr>
                <w:rFonts w:cs="Arial"/>
                <w:lang w:val="en-GB"/>
              </w:rPr>
              <w:t xml:space="preserve">As presented in our London meetings, ODMs don’t have to stem only from tracking and orbit determination.  Additional use cases are envisioned that *could* be inserted here are ODMs resulting from mission simulation, (e.g. for new launches or upcoming drift </w:t>
            </w:r>
            <w:proofErr w:type="spellStart"/>
            <w:r w:rsidRPr="008D1374">
              <w:rPr>
                <w:rFonts w:cs="Arial"/>
                <w:lang w:val="en-GB"/>
              </w:rPr>
              <w:t>maneuvers</w:t>
            </w:r>
            <w:proofErr w:type="spellEnd"/>
            <w:r w:rsidRPr="008D1374">
              <w:rPr>
                <w:rFonts w:cs="Arial"/>
                <w:lang w:val="en-GB"/>
              </w:rPr>
              <w:t xml:space="preserve">) and mission design studies; </w:t>
            </w:r>
          </w:p>
        </w:tc>
        <w:tc>
          <w:tcPr>
            <w:tcW w:w="2520" w:type="dxa"/>
            <w:tcBorders>
              <w:left w:val="single" w:sz="4" w:space="0" w:color="auto"/>
            </w:tcBorders>
            <w:shd w:val="clear" w:color="auto" w:fill="F79646" w:themeFill="accent6"/>
          </w:tcPr>
          <w:p w14:paraId="0E096B80" w14:textId="77777777" w:rsidR="008D1374" w:rsidRPr="008D1374" w:rsidRDefault="008D1374" w:rsidP="00BF76C3">
            <w:pPr>
              <w:rPr>
                <w:rFonts w:cs="Arial"/>
              </w:rPr>
            </w:pPr>
            <w:r w:rsidRPr="008D1374">
              <w:rPr>
                <w:rFonts w:cs="Arial"/>
              </w:rPr>
              <w:t>NASA</w:t>
            </w:r>
          </w:p>
        </w:tc>
        <w:tc>
          <w:tcPr>
            <w:tcW w:w="2700" w:type="dxa"/>
            <w:shd w:val="clear" w:color="auto" w:fill="F79646" w:themeFill="accent6"/>
          </w:tcPr>
          <w:p w14:paraId="1A6DC014" w14:textId="77777777" w:rsidR="008D1374" w:rsidRPr="008D1374" w:rsidRDefault="008D1374" w:rsidP="00BF76C3">
            <w:pPr>
              <w:rPr>
                <w:rFonts w:cs="Arial"/>
                <w:lang w:val="en-GB"/>
              </w:rPr>
            </w:pPr>
            <w:r w:rsidRPr="008D1374">
              <w:rPr>
                <w:rFonts w:cs="Arial"/>
                <w:lang w:val="en-GB"/>
              </w:rPr>
              <w:t>(add use cases)</w:t>
            </w:r>
          </w:p>
        </w:tc>
        <w:tc>
          <w:tcPr>
            <w:tcW w:w="2079" w:type="dxa"/>
            <w:shd w:val="clear" w:color="auto" w:fill="F79646" w:themeFill="accent6"/>
          </w:tcPr>
          <w:p w14:paraId="7F6E8A0A" w14:textId="12AD4DC5" w:rsidR="008D1374" w:rsidRPr="00720862" w:rsidRDefault="00720862" w:rsidP="00BF76C3">
            <w:pPr>
              <w:rPr>
                <w:rFonts w:cs="Arial"/>
              </w:rPr>
            </w:pPr>
            <w:r w:rsidRPr="00720862">
              <w:rPr>
                <w:rFonts w:cs="Arial"/>
                <w:b/>
              </w:rPr>
              <w:t>Deferred.</w:t>
            </w:r>
            <w:r>
              <w:rPr>
                <w:rFonts w:cs="Arial"/>
                <w:b/>
              </w:rPr>
              <w:t xml:space="preserve"> </w:t>
            </w:r>
            <w:r w:rsidRPr="00720862">
              <w:rPr>
                <w:rFonts w:cs="Arial"/>
              </w:rPr>
              <w:t>The use cases in the docume</w:t>
            </w:r>
            <w:r>
              <w:rPr>
                <w:rFonts w:cs="Arial"/>
              </w:rPr>
              <w:t>nt are not meant to be exhaustive</w:t>
            </w:r>
            <w:r w:rsidRPr="00720862">
              <w:rPr>
                <w:rFonts w:cs="Arial"/>
              </w:rPr>
              <w:t>.</w:t>
            </w:r>
            <w:r>
              <w:rPr>
                <w:rFonts w:cs="Arial"/>
                <w:b/>
              </w:rPr>
              <w:t xml:space="preserve"> </w:t>
            </w:r>
            <w:r>
              <w:rPr>
                <w:rFonts w:cs="Arial"/>
              </w:rPr>
              <w:t>It is envisioned</w:t>
            </w:r>
            <w:bookmarkStart w:id="0" w:name="_GoBack"/>
            <w:bookmarkEnd w:id="0"/>
            <w:r>
              <w:rPr>
                <w:rFonts w:cs="Arial"/>
              </w:rPr>
              <w:t xml:space="preserve"> that more use case examples will be added to the document in a future release.</w:t>
            </w:r>
          </w:p>
        </w:tc>
      </w:tr>
    </w:tbl>
    <w:p w14:paraId="03E7D949" w14:textId="77777777" w:rsidR="008D1374" w:rsidRPr="008D1374" w:rsidRDefault="008D1374" w:rsidP="00797113">
      <w:pPr>
        <w:rPr>
          <w:rFonts w:cs="Arial"/>
        </w:rPr>
      </w:pPr>
    </w:p>
    <w:sectPr w:rsidR="008D1374" w:rsidRPr="008D1374" w:rsidSect="00C635BB">
      <w:headerReference w:type="default" r:id="rId8"/>
      <w:footerReference w:type="default" r:id="rId9"/>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0E330" w14:textId="77777777" w:rsidR="00C75EED" w:rsidRDefault="00C75EED">
      <w:r>
        <w:separator/>
      </w:r>
    </w:p>
  </w:endnote>
  <w:endnote w:type="continuationSeparator" w:id="0">
    <w:p w14:paraId="73C24BEA" w14:textId="77777777" w:rsidR="00C75EED" w:rsidRDefault="00C7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2033FC" w:rsidRPr="008E3BF4" w:rsidRDefault="002033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2033FC" w:rsidRDefault="002033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72086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CC48" w14:textId="77777777" w:rsidR="00C75EED" w:rsidRDefault="00C75EED">
      <w:r>
        <w:separator/>
      </w:r>
    </w:p>
  </w:footnote>
  <w:footnote w:type="continuationSeparator" w:id="0">
    <w:p w14:paraId="0BEC1355" w14:textId="77777777" w:rsidR="00C75EED" w:rsidRDefault="00C7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03F0BDA7" w:rsidR="002033FC" w:rsidRDefault="002033FC" w:rsidP="00C635BB">
    <w:pPr>
      <w:pStyle w:val="Heading1"/>
      <w:rPr>
        <w:bCs/>
        <w:color w:val="3366FF"/>
        <w:sz w:val="22"/>
      </w:rPr>
    </w:pPr>
    <w:r>
      <w:rPr>
        <w:bCs/>
        <w:color w:val="3366FF"/>
        <w:sz w:val="22"/>
      </w:rPr>
      <w:t xml:space="preserve">COMMENT RESOLUTION MATRIX: </w:t>
    </w:r>
    <w:r w:rsidR="00FB10C6">
      <w:rPr>
        <w:bCs/>
        <w:color w:val="3366FF"/>
        <w:sz w:val="22"/>
      </w:rPr>
      <w:t>NAV Green</w:t>
    </w:r>
    <w:r>
      <w:rPr>
        <w:bCs/>
        <w:color w:val="3366FF"/>
        <w:sz w:val="22"/>
      </w:rPr>
      <w:t xml:space="preserve"> Book </w:t>
    </w:r>
    <w:r w:rsidR="00FB10C6">
      <w:rPr>
        <w:bCs/>
        <w:color w:val="3366FF"/>
        <w:sz w:val="22"/>
      </w:rPr>
      <w:t>3.8</w:t>
    </w:r>
  </w:p>
  <w:p w14:paraId="3F82E198" w14:textId="77777777" w:rsidR="002033FC" w:rsidRDefault="00203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0354B"/>
    <w:rsid w:val="000301F9"/>
    <w:rsid w:val="000341AA"/>
    <w:rsid w:val="00042304"/>
    <w:rsid w:val="00043F1F"/>
    <w:rsid w:val="00050C72"/>
    <w:rsid w:val="00053A48"/>
    <w:rsid w:val="0005734C"/>
    <w:rsid w:val="000630F7"/>
    <w:rsid w:val="00063A48"/>
    <w:rsid w:val="000666FB"/>
    <w:rsid w:val="000669C9"/>
    <w:rsid w:val="00070447"/>
    <w:rsid w:val="00070C4A"/>
    <w:rsid w:val="000745CD"/>
    <w:rsid w:val="00086506"/>
    <w:rsid w:val="00087CEE"/>
    <w:rsid w:val="00087F44"/>
    <w:rsid w:val="00091B25"/>
    <w:rsid w:val="00094BE6"/>
    <w:rsid w:val="000A259F"/>
    <w:rsid w:val="000A4041"/>
    <w:rsid w:val="000A705A"/>
    <w:rsid w:val="000B10E6"/>
    <w:rsid w:val="000B2005"/>
    <w:rsid w:val="000B39E3"/>
    <w:rsid w:val="000C59B6"/>
    <w:rsid w:val="000D0672"/>
    <w:rsid w:val="000D43C6"/>
    <w:rsid w:val="000E7262"/>
    <w:rsid w:val="000F4489"/>
    <w:rsid w:val="000F66B1"/>
    <w:rsid w:val="00111BD7"/>
    <w:rsid w:val="0011344D"/>
    <w:rsid w:val="001213C4"/>
    <w:rsid w:val="00122ED8"/>
    <w:rsid w:val="00125CA6"/>
    <w:rsid w:val="001318AC"/>
    <w:rsid w:val="001340BC"/>
    <w:rsid w:val="001434A7"/>
    <w:rsid w:val="00165E28"/>
    <w:rsid w:val="00171F07"/>
    <w:rsid w:val="0018391E"/>
    <w:rsid w:val="001A15D5"/>
    <w:rsid w:val="001A257C"/>
    <w:rsid w:val="001A2616"/>
    <w:rsid w:val="001A2870"/>
    <w:rsid w:val="001B35D7"/>
    <w:rsid w:val="001C0CE8"/>
    <w:rsid w:val="001C2C0C"/>
    <w:rsid w:val="001C5CED"/>
    <w:rsid w:val="001C79F0"/>
    <w:rsid w:val="001D0241"/>
    <w:rsid w:val="001D118C"/>
    <w:rsid w:val="001D1B7A"/>
    <w:rsid w:val="001E04D4"/>
    <w:rsid w:val="001E33E4"/>
    <w:rsid w:val="001E6CEC"/>
    <w:rsid w:val="001F41AC"/>
    <w:rsid w:val="001F5D6C"/>
    <w:rsid w:val="002033FC"/>
    <w:rsid w:val="00203AAB"/>
    <w:rsid w:val="002071A4"/>
    <w:rsid w:val="00207896"/>
    <w:rsid w:val="00216E33"/>
    <w:rsid w:val="002173B7"/>
    <w:rsid w:val="00222BD5"/>
    <w:rsid w:val="00244370"/>
    <w:rsid w:val="00245705"/>
    <w:rsid w:val="002652FB"/>
    <w:rsid w:val="0027274A"/>
    <w:rsid w:val="00282704"/>
    <w:rsid w:val="002833D8"/>
    <w:rsid w:val="00293065"/>
    <w:rsid w:val="002A4FE2"/>
    <w:rsid w:val="002B0F8E"/>
    <w:rsid w:val="002C3800"/>
    <w:rsid w:val="002D15A7"/>
    <w:rsid w:val="002F1DDD"/>
    <w:rsid w:val="002F71B1"/>
    <w:rsid w:val="002F7AD2"/>
    <w:rsid w:val="002F7BAB"/>
    <w:rsid w:val="003013C9"/>
    <w:rsid w:val="00306026"/>
    <w:rsid w:val="003276A9"/>
    <w:rsid w:val="00330E11"/>
    <w:rsid w:val="00333F63"/>
    <w:rsid w:val="003375EE"/>
    <w:rsid w:val="00344638"/>
    <w:rsid w:val="003446F4"/>
    <w:rsid w:val="00360FCD"/>
    <w:rsid w:val="00364592"/>
    <w:rsid w:val="00367000"/>
    <w:rsid w:val="003737CF"/>
    <w:rsid w:val="003808E0"/>
    <w:rsid w:val="00395B53"/>
    <w:rsid w:val="003A26D7"/>
    <w:rsid w:val="003A3044"/>
    <w:rsid w:val="003B38D3"/>
    <w:rsid w:val="003C4F72"/>
    <w:rsid w:val="003C583A"/>
    <w:rsid w:val="003D5E49"/>
    <w:rsid w:val="003E2F96"/>
    <w:rsid w:val="003E30E6"/>
    <w:rsid w:val="003E5FB3"/>
    <w:rsid w:val="003E6DAD"/>
    <w:rsid w:val="004004B4"/>
    <w:rsid w:val="00414C94"/>
    <w:rsid w:val="00445953"/>
    <w:rsid w:val="00455034"/>
    <w:rsid w:val="004550FC"/>
    <w:rsid w:val="0045724A"/>
    <w:rsid w:val="0046105B"/>
    <w:rsid w:val="00461DA2"/>
    <w:rsid w:val="004627B6"/>
    <w:rsid w:val="00465AA9"/>
    <w:rsid w:val="0046777B"/>
    <w:rsid w:val="004716B2"/>
    <w:rsid w:val="004A1362"/>
    <w:rsid w:val="004A29BE"/>
    <w:rsid w:val="004A2FA2"/>
    <w:rsid w:val="004A4F39"/>
    <w:rsid w:val="004C1B5C"/>
    <w:rsid w:val="004C3037"/>
    <w:rsid w:val="004D5E47"/>
    <w:rsid w:val="004D703D"/>
    <w:rsid w:val="004E0921"/>
    <w:rsid w:val="004E39DA"/>
    <w:rsid w:val="004E61A0"/>
    <w:rsid w:val="0050215B"/>
    <w:rsid w:val="0050323E"/>
    <w:rsid w:val="005038B2"/>
    <w:rsid w:val="0051693F"/>
    <w:rsid w:val="00520829"/>
    <w:rsid w:val="00521C7D"/>
    <w:rsid w:val="005222FD"/>
    <w:rsid w:val="0052324C"/>
    <w:rsid w:val="00527573"/>
    <w:rsid w:val="00531081"/>
    <w:rsid w:val="005329AE"/>
    <w:rsid w:val="00535CFB"/>
    <w:rsid w:val="00541DFE"/>
    <w:rsid w:val="00542346"/>
    <w:rsid w:val="005479FD"/>
    <w:rsid w:val="00553B16"/>
    <w:rsid w:val="005555EB"/>
    <w:rsid w:val="005635AB"/>
    <w:rsid w:val="00567701"/>
    <w:rsid w:val="0057210C"/>
    <w:rsid w:val="00574971"/>
    <w:rsid w:val="00586B5C"/>
    <w:rsid w:val="005875E4"/>
    <w:rsid w:val="005951D0"/>
    <w:rsid w:val="005A3709"/>
    <w:rsid w:val="005A620D"/>
    <w:rsid w:val="005A6571"/>
    <w:rsid w:val="005B2275"/>
    <w:rsid w:val="005C3855"/>
    <w:rsid w:val="005E5769"/>
    <w:rsid w:val="005F405D"/>
    <w:rsid w:val="005F62D0"/>
    <w:rsid w:val="00600C26"/>
    <w:rsid w:val="006124E5"/>
    <w:rsid w:val="00613BD8"/>
    <w:rsid w:val="00641138"/>
    <w:rsid w:val="00652897"/>
    <w:rsid w:val="0066601A"/>
    <w:rsid w:val="00676DF8"/>
    <w:rsid w:val="006869D8"/>
    <w:rsid w:val="00694145"/>
    <w:rsid w:val="00696555"/>
    <w:rsid w:val="006A3A3E"/>
    <w:rsid w:val="006A77EB"/>
    <w:rsid w:val="006B40F0"/>
    <w:rsid w:val="006C3CBF"/>
    <w:rsid w:val="006C6053"/>
    <w:rsid w:val="006E1633"/>
    <w:rsid w:val="006E52C2"/>
    <w:rsid w:val="006F29A9"/>
    <w:rsid w:val="0070371E"/>
    <w:rsid w:val="0071029D"/>
    <w:rsid w:val="00710BC0"/>
    <w:rsid w:val="0071553B"/>
    <w:rsid w:val="00720862"/>
    <w:rsid w:val="00734E5A"/>
    <w:rsid w:val="007358A7"/>
    <w:rsid w:val="00736823"/>
    <w:rsid w:val="00740C93"/>
    <w:rsid w:val="007453A7"/>
    <w:rsid w:val="00745966"/>
    <w:rsid w:val="007501B9"/>
    <w:rsid w:val="007547D7"/>
    <w:rsid w:val="00770EA9"/>
    <w:rsid w:val="00771CA9"/>
    <w:rsid w:val="0077236C"/>
    <w:rsid w:val="00773566"/>
    <w:rsid w:val="007831EF"/>
    <w:rsid w:val="007837C7"/>
    <w:rsid w:val="00792220"/>
    <w:rsid w:val="00792793"/>
    <w:rsid w:val="0079414A"/>
    <w:rsid w:val="00795040"/>
    <w:rsid w:val="00797113"/>
    <w:rsid w:val="007978DA"/>
    <w:rsid w:val="007A0F77"/>
    <w:rsid w:val="007B5154"/>
    <w:rsid w:val="007B5A73"/>
    <w:rsid w:val="007C4B1F"/>
    <w:rsid w:val="007D2EE7"/>
    <w:rsid w:val="007D5F14"/>
    <w:rsid w:val="007D67B4"/>
    <w:rsid w:val="007E249F"/>
    <w:rsid w:val="007E3E95"/>
    <w:rsid w:val="007F14E9"/>
    <w:rsid w:val="007F347A"/>
    <w:rsid w:val="00804003"/>
    <w:rsid w:val="008146CB"/>
    <w:rsid w:val="00836C5A"/>
    <w:rsid w:val="00850C33"/>
    <w:rsid w:val="0085781E"/>
    <w:rsid w:val="00882184"/>
    <w:rsid w:val="008A4829"/>
    <w:rsid w:val="008A501D"/>
    <w:rsid w:val="008B0621"/>
    <w:rsid w:val="008C1A14"/>
    <w:rsid w:val="008C4E3B"/>
    <w:rsid w:val="008D1374"/>
    <w:rsid w:val="008D7C1A"/>
    <w:rsid w:val="008E3BF4"/>
    <w:rsid w:val="008E53A1"/>
    <w:rsid w:val="008F3E09"/>
    <w:rsid w:val="00904879"/>
    <w:rsid w:val="009062D7"/>
    <w:rsid w:val="009070B9"/>
    <w:rsid w:val="00922DFF"/>
    <w:rsid w:val="00932EC1"/>
    <w:rsid w:val="00946900"/>
    <w:rsid w:val="00972522"/>
    <w:rsid w:val="00972D47"/>
    <w:rsid w:val="00985095"/>
    <w:rsid w:val="00985D14"/>
    <w:rsid w:val="0098780C"/>
    <w:rsid w:val="0099062A"/>
    <w:rsid w:val="00991759"/>
    <w:rsid w:val="00991BE9"/>
    <w:rsid w:val="00994538"/>
    <w:rsid w:val="0099513F"/>
    <w:rsid w:val="009977A8"/>
    <w:rsid w:val="009A79C6"/>
    <w:rsid w:val="009B3644"/>
    <w:rsid w:val="009B3DB9"/>
    <w:rsid w:val="009B775E"/>
    <w:rsid w:val="009C03C2"/>
    <w:rsid w:val="009C501A"/>
    <w:rsid w:val="009C6213"/>
    <w:rsid w:val="009C634E"/>
    <w:rsid w:val="009D02A9"/>
    <w:rsid w:val="009D04BA"/>
    <w:rsid w:val="009D3410"/>
    <w:rsid w:val="009E2BBF"/>
    <w:rsid w:val="009E4D78"/>
    <w:rsid w:val="009F4FEF"/>
    <w:rsid w:val="00A14129"/>
    <w:rsid w:val="00A16B23"/>
    <w:rsid w:val="00A2063B"/>
    <w:rsid w:val="00A256C0"/>
    <w:rsid w:val="00A30C5E"/>
    <w:rsid w:val="00A32F9D"/>
    <w:rsid w:val="00A37CA6"/>
    <w:rsid w:val="00A40EE8"/>
    <w:rsid w:val="00A43D22"/>
    <w:rsid w:val="00A45035"/>
    <w:rsid w:val="00A470BA"/>
    <w:rsid w:val="00A538DB"/>
    <w:rsid w:val="00A568D6"/>
    <w:rsid w:val="00A63A69"/>
    <w:rsid w:val="00A739D8"/>
    <w:rsid w:val="00A75345"/>
    <w:rsid w:val="00A77862"/>
    <w:rsid w:val="00A81CF8"/>
    <w:rsid w:val="00A83FD0"/>
    <w:rsid w:val="00A866CA"/>
    <w:rsid w:val="00A904F1"/>
    <w:rsid w:val="00A90CAC"/>
    <w:rsid w:val="00A9409E"/>
    <w:rsid w:val="00A9437A"/>
    <w:rsid w:val="00AA2C26"/>
    <w:rsid w:val="00AA652D"/>
    <w:rsid w:val="00AA706E"/>
    <w:rsid w:val="00AB053F"/>
    <w:rsid w:val="00AB1049"/>
    <w:rsid w:val="00AB1A11"/>
    <w:rsid w:val="00AB773E"/>
    <w:rsid w:val="00AC0CBC"/>
    <w:rsid w:val="00AD04A4"/>
    <w:rsid w:val="00AD2ED2"/>
    <w:rsid w:val="00AE2BD5"/>
    <w:rsid w:val="00AF43B5"/>
    <w:rsid w:val="00B023B1"/>
    <w:rsid w:val="00B02B5E"/>
    <w:rsid w:val="00B03173"/>
    <w:rsid w:val="00B05C87"/>
    <w:rsid w:val="00B12DD8"/>
    <w:rsid w:val="00B37FA0"/>
    <w:rsid w:val="00B41251"/>
    <w:rsid w:val="00B44A35"/>
    <w:rsid w:val="00B47B9A"/>
    <w:rsid w:val="00B47E9E"/>
    <w:rsid w:val="00B51B6D"/>
    <w:rsid w:val="00B56FC1"/>
    <w:rsid w:val="00B74171"/>
    <w:rsid w:val="00B75213"/>
    <w:rsid w:val="00B82991"/>
    <w:rsid w:val="00B83A74"/>
    <w:rsid w:val="00B863B4"/>
    <w:rsid w:val="00B932F5"/>
    <w:rsid w:val="00BA7132"/>
    <w:rsid w:val="00BB7647"/>
    <w:rsid w:val="00BC6DD1"/>
    <w:rsid w:val="00BD16D3"/>
    <w:rsid w:val="00BE77E4"/>
    <w:rsid w:val="00BF1A22"/>
    <w:rsid w:val="00BF2F80"/>
    <w:rsid w:val="00C03101"/>
    <w:rsid w:val="00C03B28"/>
    <w:rsid w:val="00C128F2"/>
    <w:rsid w:val="00C1736A"/>
    <w:rsid w:val="00C17B4C"/>
    <w:rsid w:val="00C22A75"/>
    <w:rsid w:val="00C3462B"/>
    <w:rsid w:val="00C36EDC"/>
    <w:rsid w:val="00C374AD"/>
    <w:rsid w:val="00C40ACE"/>
    <w:rsid w:val="00C46C04"/>
    <w:rsid w:val="00C509B5"/>
    <w:rsid w:val="00C577D5"/>
    <w:rsid w:val="00C6158B"/>
    <w:rsid w:val="00C62355"/>
    <w:rsid w:val="00C635BB"/>
    <w:rsid w:val="00C66305"/>
    <w:rsid w:val="00C66985"/>
    <w:rsid w:val="00C75EED"/>
    <w:rsid w:val="00C8123D"/>
    <w:rsid w:val="00C860E2"/>
    <w:rsid w:val="00C96859"/>
    <w:rsid w:val="00CA3874"/>
    <w:rsid w:val="00CA6366"/>
    <w:rsid w:val="00CB4DE0"/>
    <w:rsid w:val="00CB70FD"/>
    <w:rsid w:val="00CC1355"/>
    <w:rsid w:val="00CC348E"/>
    <w:rsid w:val="00CC5F1E"/>
    <w:rsid w:val="00CC64C5"/>
    <w:rsid w:val="00CF279C"/>
    <w:rsid w:val="00D16072"/>
    <w:rsid w:val="00D313C7"/>
    <w:rsid w:val="00D357EA"/>
    <w:rsid w:val="00D37CA6"/>
    <w:rsid w:val="00D44A7A"/>
    <w:rsid w:val="00D520B5"/>
    <w:rsid w:val="00D56059"/>
    <w:rsid w:val="00D743D2"/>
    <w:rsid w:val="00D744AF"/>
    <w:rsid w:val="00D8107F"/>
    <w:rsid w:val="00D83D7D"/>
    <w:rsid w:val="00D84BB4"/>
    <w:rsid w:val="00D86237"/>
    <w:rsid w:val="00D918BB"/>
    <w:rsid w:val="00D956E2"/>
    <w:rsid w:val="00D9640F"/>
    <w:rsid w:val="00DB279E"/>
    <w:rsid w:val="00DB6147"/>
    <w:rsid w:val="00DD2BB6"/>
    <w:rsid w:val="00DD399C"/>
    <w:rsid w:val="00DD7FF2"/>
    <w:rsid w:val="00DE4D3D"/>
    <w:rsid w:val="00DF36EE"/>
    <w:rsid w:val="00DF36FF"/>
    <w:rsid w:val="00E009A9"/>
    <w:rsid w:val="00E213E9"/>
    <w:rsid w:val="00E23B23"/>
    <w:rsid w:val="00E34423"/>
    <w:rsid w:val="00E50D0A"/>
    <w:rsid w:val="00E51903"/>
    <w:rsid w:val="00E5246A"/>
    <w:rsid w:val="00E546E6"/>
    <w:rsid w:val="00E55646"/>
    <w:rsid w:val="00E665CA"/>
    <w:rsid w:val="00E71CF7"/>
    <w:rsid w:val="00E852BA"/>
    <w:rsid w:val="00E858BE"/>
    <w:rsid w:val="00E8628E"/>
    <w:rsid w:val="00E87786"/>
    <w:rsid w:val="00E9155F"/>
    <w:rsid w:val="00E92286"/>
    <w:rsid w:val="00E9247A"/>
    <w:rsid w:val="00E92D8A"/>
    <w:rsid w:val="00E93759"/>
    <w:rsid w:val="00EA2303"/>
    <w:rsid w:val="00EA521A"/>
    <w:rsid w:val="00EA5E57"/>
    <w:rsid w:val="00ED09D8"/>
    <w:rsid w:val="00ED33F4"/>
    <w:rsid w:val="00ED3A51"/>
    <w:rsid w:val="00ED7100"/>
    <w:rsid w:val="00EF221B"/>
    <w:rsid w:val="00EF5596"/>
    <w:rsid w:val="00EF6BB0"/>
    <w:rsid w:val="00EF708F"/>
    <w:rsid w:val="00F0417F"/>
    <w:rsid w:val="00F04358"/>
    <w:rsid w:val="00F0593B"/>
    <w:rsid w:val="00F16343"/>
    <w:rsid w:val="00F239E4"/>
    <w:rsid w:val="00F27C8C"/>
    <w:rsid w:val="00F3043B"/>
    <w:rsid w:val="00F36BE8"/>
    <w:rsid w:val="00F40BFE"/>
    <w:rsid w:val="00F40DDF"/>
    <w:rsid w:val="00F564BF"/>
    <w:rsid w:val="00F624C5"/>
    <w:rsid w:val="00F808FA"/>
    <w:rsid w:val="00F85C99"/>
    <w:rsid w:val="00FA4890"/>
    <w:rsid w:val="00FB10C6"/>
    <w:rsid w:val="00FB662B"/>
    <w:rsid w:val="00FC02C5"/>
    <w:rsid w:val="00FD196C"/>
    <w:rsid w:val="00FD42A9"/>
    <w:rsid w:val="00FD669B"/>
    <w:rsid w:val="00FD7BF6"/>
    <w:rsid w:val="00FF062D"/>
    <w:rsid w:val="00FF1B2B"/>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1965C7FD-8167-41A0-9AF6-9A2742B0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4F75-1124-4137-8B59-66CD7915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Raymond, Juan C. (GSFC-5910)</cp:lastModifiedBy>
  <cp:revision>26</cp:revision>
  <cp:lastPrinted>2003-02-28T21:24:00Z</cp:lastPrinted>
  <dcterms:created xsi:type="dcterms:W3CDTF">2015-04-24T16:24:00Z</dcterms:created>
  <dcterms:modified xsi:type="dcterms:W3CDTF">2015-05-04T13:54:00Z</dcterms:modified>
</cp:coreProperties>
</file>