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6F1768">
              <w:rPr>
                <w:lang w:val="en-GB"/>
              </w:rPr>
              <w:t>15/05/2018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AA5E26">
              <w:rPr>
                <w:lang w:val="en-GB"/>
              </w:rPr>
              <w:t>MP&amp;S WG Web-Ex 2018_05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6F1768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6F1768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6F1768">
              <w:rPr>
                <w:lang w:val="en-GB"/>
              </w:rPr>
              <w:t>16/05/2018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6F1768">
              <w:rPr>
                <w:lang w:val="en-GB"/>
              </w:rPr>
              <w:t xml:space="preserve">CCSDS MPS WG Web-Ex  2018_05  </w:t>
            </w:r>
            <w:proofErr w:type="spellStart"/>
            <w:r w:rsidR="006F1768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075AF716" w14:textId="7BA64AAE" w:rsidR="00B26A89" w:rsidRDefault="006C26B0" w:rsidP="004C1DA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Update on the </w:t>
      </w:r>
      <w:r w:rsidR="008C6DFB">
        <w:rPr>
          <w:lang w:val="en-GB"/>
        </w:rPr>
        <w:t>Blue Book Status</w:t>
      </w:r>
    </w:p>
    <w:p w14:paraId="20A65CAE" w14:textId="0E03C89C" w:rsidR="009E3F45" w:rsidRPr="00B26A89" w:rsidRDefault="001E4FA4" w:rsidP="00174705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BB </w:t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13C2E725" w:rsidR="009C3722" w:rsidRDefault="0071686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24/10</w:t>
            </w:r>
            <w:r w:rsidR="009C3722">
              <w:rPr>
                <w:rStyle w:val="Data"/>
                <w:lang w:val="en-GB"/>
              </w:rPr>
              <w:t>/201</w:t>
            </w:r>
            <w:r w:rsidR="008C6DFB">
              <w:rPr>
                <w:rStyle w:val="Data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  <w:tr w:rsidR="008E3371" w:rsidRPr="007E0E86" w14:paraId="1ACEDDAA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CBA2D9" w14:textId="0D1A7051" w:rsidR="008E3371" w:rsidRDefault="008E3371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180505-01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33657A" w14:textId="725E8387" w:rsidR="008E3371" w:rsidRDefault="008E3371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Draft a TN to highlight the areas where PRM structures may need extension or amendments to cover the needs of MP&amp;S Pointing Constraint modelling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E2E5" w14:textId="2EE8D4F2" w:rsidR="008E3371" w:rsidRDefault="008E3371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/DF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DB54268" w14:textId="72E9482F" w:rsidR="008E3371" w:rsidRDefault="00267DEF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15/06/2018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17A1C" w14:textId="77777777" w:rsidR="008E3371" w:rsidRDefault="008E3371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762DFB" w14:textId="77777777" w:rsidR="008E3371" w:rsidRDefault="008E3371" w:rsidP="007E0E86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48972461" w:rsidR="007521EF" w:rsidRDefault="008C6DFB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Update on the GB </w:t>
      </w:r>
      <w:r w:rsidR="006C26B0">
        <w:rPr>
          <w:b/>
          <w:sz w:val="28"/>
          <w:szCs w:val="28"/>
          <w:lang w:val="en-GB"/>
        </w:rPr>
        <w:t xml:space="preserve">and BB </w:t>
      </w:r>
      <w:r>
        <w:rPr>
          <w:b/>
          <w:sz w:val="28"/>
          <w:szCs w:val="28"/>
          <w:lang w:val="en-GB"/>
        </w:rPr>
        <w:t>Status</w:t>
      </w:r>
    </w:p>
    <w:p w14:paraId="77AE8C82" w14:textId="63330079" w:rsidR="006C26B0" w:rsidRDefault="008C6DFB" w:rsidP="008E3371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Green Book </w:t>
      </w:r>
      <w:r w:rsidR="00AA5E26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has been sent to the </w:t>
      </w:r>
      <w:r w:rsidR="008E3371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poll with a closing date on 21 May 2018.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081600C5" w14:textId="77777777" w:rsidR="006C26B0" w:rsidRDefault="006C26B0" w:rsidP="006C26B0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9A5D721" w14:textId="77764C01" w:rsidR="008C6DFB" w:rsidRDefault="008C6DFB" w:rsidP="008C6DF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work on the Blue Book is on-going according to the schedule, which is outlined on the CWE.</w:t>
      </w:r>
    </w:p>
    <w:p w14:paraId="7657CC83" w14:textId="77777777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737D55D" w14:textId="4233D327" w:rsidR="007F5BB7" w:rsidRDefault="00174705" w:rsidP="007F5BB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Work on the BB: </w:t>
      </w:r>
      <w:r w:rsidR="008C6DFB">
        <w:rPr>
          <w:b/>
          <w:sz w:val="28"/>
          <w:szCs w:val="28"/>
          <w:lang w:val="en-GB"/>
        </w:rPr>
        <w:t>Discussions on the Information Model</w:t>
      </w:r>
    </w:p>
    <w:p w14:paraId="36A61E0A" w14:textId="1081B341" w:rsidR="008E3371" w:rsidRDefault="008E3371" w:rsidP="003868EE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DF and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PvP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have analysed the recently published standard from the NAV WG, the Pointing Request Message and provided a presentation assessing if it can be used as the basis for defining Pointing Constraints in the MP&amp;S information model.</w:t>
      </w:r>
    </w:p>
    <w:p w14:paraId="7DF3E413" w14:textId="65EBCFA5" w:rsidR="008E3371" w:rsidRDefault="008E3371" w:rsidP="003868EE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initial result of the assessment is:</w:t>
      </w:r>
    </w:p>
    <w:p w14:paraId="092830FB" w14:textId="3F351723" w:rsidR="008E3371" w:rsidRDefault="008E3371" w:rsidP="008E3371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structures </w:t>
      </w:r>
      <w:proofErr w:type="gram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seems</w:t>
      </w:r>
      <w:proofErr w:type="gram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to cover most of the needs of MP&amp;S</w:t>
      </w:r>
    </w:p>
    <w:p w14:paraId="5825DA50" w14:textId="1DA6AC79" w:rsidR="008E3371" w:rsidRDefault="008E3371" w:rsidP="008E3371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PRM standard covers the aspects needed for execution of the pointing,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where as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in the context of the planning (e.g. at the time of the request) some of the elements of the PRM are not known and may need to be parameterised</w:t>
      </w:r>
    </w:p>
    <w:p w14:paraId="72C57F04" w14:textId="1EB337D3" w:rsidR="008E3371" w:rsidRDefault="008E3371" w:rsidP="008E3371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lastRenderedPageBreak/>
        <w:t>Further more detailed assessment is needed to judge if the structures defined in the PRM can be reused/extended and amended with e.g. conventions to cover the needs of MP&amp;S</w:t>
      </w:r>
    </w:p>
    <w:p w14:paraId="5C901645" w14:textId="6E410F03" w:rsidR="008E3371" w:rsidRDefault="008E3371" w:rsidP="008E3371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PvP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and DF took the action to draft a TN to outline the areas where such considerations need to be taken.</w:t>
      </w:r>
    </w:p>
    <w:p w14:paraId="7A831AA0" w14:textId="12A15567" w:rsidR="00267DEF" w:rsidRPr="008E3371" w:rsidRDefault="00267DEF" w:rsidP="008E3371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Once a detailed comparison of the PRM structures have been performed, it can be discussed in a joint meeting with NAV WG.</w:t>
      </w:r>
    </w:p>
    <w:p w14:paraId="5AC66BF3" w14:textId="77777777" w:rsidR="008E3371" w:rsidRDefault="008E3371" w:rsidP="003868EE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26CF9816" w14:textId="67A8B541" w:rsidR="003868EE" w:rsidRDefault="00267DEF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RT has updated the</w:t>
      </w:r>
      <w:r w:rsidR="003868EE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BB Information</w:t>
      </w:r>
      <w:r w:rsidR="003868EE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model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with the results of the discussions from the Spring Technical Meetings.</w:t>
      </w:r>
      <w:r w:rsidR="003868EE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158F33A8" w14:textId="7DE5C1DC" w:rsidR="00262BBA" w:rsidRDefault="00262BBA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It was decided to keep a list of open points for later revision. It was also decided that in order to avoid cyclic discussions to better minute and document the conclusion of discussions.</w:t>
      </w:r>
    </w:p>
    <w:p w14:paraId="5D7F762F" w14:textId="77777777" w:rsidR="00262BBA" w:rsidRDefault="00262BBA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1BD7C7D" w14:textId="19F79D55" w:rsidR="00262BBA" w:rsidRDefault="00262BBA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Open points of discussion:</w:t>
      </w:r>
    </w:p>
    <w:p w14:paraId="4D5D93B0" w14:textId="3CBF232D" w:rsidR="00262BBA" w:rsidRDefault="00262BBA" w:rsidP="00262BBA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Duration of events: Do events have durations?</w:t>
      </w:r>
    </w:p>
    <w:p w14:paraId="38F68515" w14:textId="77777777" w:rsidR="00262BBA" w:rsidRDefault="00262BBA" w:rsidP="00262BBA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Linking of Activity Constructors to Events</w:t>
      </w:r>
    </w:p>
    <w:p w14:paraId="7531265D" w14:textId="77777777" w:rsidR="00262BBA" w:rsidRDefault="00262BBA" w:rsidP="00262BBA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Types of Resource Values: Shall Position and Time be considered as types of resource value?</w:t>
      </w:r>
    </w:p>
    <w:p w14:paraId="295CFF24" w14:textId="7D8FF9C1" w:rsidR="00262BBA" w:rsidRDefault="00262BBA" w:rsidP="00262BBA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Repetitions defined by a separation and tolerance or by min/max separations.  </w:t>
      </w:r>
    </w:p>
    <w:p w14:paraId="3ECC3FFA" w14:textId="77777777" w:rsidR="00262BBA" w:rsidRPr="00262BBA" w:rsidRDefault="00262BBA" w:rsidP="00262BBA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D20A28B" w14:textId="7C7F8499" w:rsidR="00262BBA" w:rsidRDefault="00262BBA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updated model is available on </w:t>
      </w:r>
    </w:p>
    <w:p w14:paraId="7808966B" w14:textId="14D39F33" w:rsidR="00262BBA" w:rsidRDefault="00262BBA" w:rsidP="00267DE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0" w:history="1">
        <w:r w:rsidRPr="00D359BE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https://drive.google.com/open?id=1ydZO0h2hcgEyKjoKNJ46N1kL19Cpy0cR</w:t>
        </w:r>
      </w:hyperlink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1F876AB4" w14:textId="29AF1F8D" w:rsidR="00E67799" w:rsidRDefault="003868EE" w:rsidP="003868EE"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Comments on the Information Model to be captured before the </w:t>
      </w:r>
      <w:r w:rsidR="00262BBA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next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meeting in the document on the Google Drive.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1A7BFA96" w14:textId="75F8FBE9" w:rsidR="002D35CD" w:rsidRDefault="00262BBA" w:rsidP="002D35CD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1" w:history="1">
        <w:r w:rsidRPr="00D359BE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https://drive.google.com/open?id=1_U0TV54WzKDToTsoWOdYurdBEUghD33R</w:t>
        </w:r>
      </w:hyperlink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</w:p>
    <w:p w14:paraId="5E7CEF1E" w14:textId="77777777" w:rsidR="00E67799" w:rsidRDefault="00E67799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BE50C95" w14:textId="77777777" w:rsidR="00262BBA" w:rsidRDefault="00262BBA" w:rsidP="00FB074B">
      <w:pPr>
        <w:rPr>
          <w:b/>
          <w:sz w:val="28"/>
          <w:szCs w:val="28"/>
          <w:lang w:val="en-GB"/>
        </w:rPr>
      </w:pPr>
    </w:p>
    <w:p w14:paraId="3C10508B" w14:textId="0DE4B31D" w:rsidR="00297318" w:rsidRPr="00305348" w:rsidRDefault="00F867D9" w:rsidP="003053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5750F491" w14:textId="5866A72D" w:rsidR="00B74F13" w:rsidRDefault="002D729D" w:rsidP="00262BBA">
      <w:pPr>
        <w:rPr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Next </w:t>
      </w:r>
      <w:r w:rsidR="004E11E7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Meet</w:t>
      </w:r>
      <w:r w:rsidR="008D12E3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ing </w:t>
      </w:r>
      <w:r w:rsidR="00262BBA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is web-ex on 15.06.</w:t>
      </w:r>
      <w:bookmarkStart w:id="2" w:name="_GoBack"/>
      <w:bookmarkEnd w:id="2"/>
    </w:p>
    <w:p w14:paraId="10B2335E" w14:textId="7492DDBE" w:rsidR="00AF7EE7" w:rsidRPr="00AF7EE7" w:rsidRDefault="00AF7EE7" w:rsidP="00AF7EE7">
      <w:pPr>
        <w:rPr>
          <w:rStyle w:val="Data"/>
          <w:rFonts w:ascii="Palatino Linotype" w:eastAsia="SimSun" w:hAnsi="Palatino Linotype" w:cs="Mangal"/>
          <w:kern w:val="1"/>
          <w:sz w:val="20"/>
          <w:szCs w:val="20"/>
          <w:lang w:eastAsia="hi-IN" w:bidi="hi-IN"/>
        </w:rPr>
      </w:pPr>
    </w:p>
    <w:sectPr w:rsidR="00AF7EE7" w:rsidRPr="00AF7EE7" w:rsidSect="00767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CEBF" w14:textId="77777777" w:rsidR="00B760C1" w:rsidRDefault="00B760C1">
      <w:r>
        <w:separator/>
      </w:r>
    </w:p>
    <w:p w14:paraId="156953CD" w14:textId="77777777" w:rsidR="00B760C1" w:rsidRDefault="00B760C1"/>
  </w:endnote>
  <w:endnote w:type="continuationSeparator" w:id="0">
    <w:p w14:paraId="6A0ECEBE" w14:textId="77777777" w:rsidR="00B760C1" w:rsidRDefault="00B760C1">
      <w:r>
        <w:continuationSeparator/>
      </w:r>
    </w:p>
    <w:p w14:paraId="551E341A" w14:textId="77777777" w:rsidR="00B760C1" w:rsidRDefault="00B76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00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262BBA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262BBA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262BBA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262BBA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B6A3" w14:textId="77777777" w:rsidR="00B760C1" w:rsidRDefault="00B760C1">
      <w:r>
        <w:separator/>
      </w:r>
    </w:p>
    <w:p w14:paraId="26464C68" w14:textId="77777777" w:rsidR="00B760C1" w:rsidRDefault="00B760C1"/>
  </w:footnote>
  <w:footnote w:type="continuationSeparator" w:id="0">
    <w:p w14:paraId="4EA924D6" w14:textId="77777777" w:rsidR="00B760C1" w:rsidRDefault="00B760C1">
      <w:r>
        <w:continuationSeparator/>
      </w:r>
    </w:p>
    <w:p w14:paraId="49F7122A" w14:textId="77777777" w:rsidR="00B760C1" w:rsidRDefault="00B760C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3312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868EE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704"/>
    <w:rsid w:val="004E5305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26B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2C24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4E6C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90488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D342C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1_U0TV54WzKDToTsoWOdYurdBEUghD33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drive.google.com/open?id=1ydZO0h2hcgEyKjoKNJ46N1kL19Cpy0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421</TotalTime>
  <Pages>2</Pages>
  <Words>529</Words>
  <Characters>2804</Characters>
  <Application>Microsoft Macintosh Word</Application>
  <DocSecurity>0</DocSecurity>
  <Lines>186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2018_05  MoM</vt:lpstr>
    </vt:vector>
  </TitlesOfParts>
  <Manager/>
  <Company>ESA</Company>
  <LinksUpToDate>false</LinksUpToDate>
  <CharactersWithSpaces>3189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2018_05  MoM</dc:title>
  <dc:subject>CCSDS MPS WG Web-Ex  2018_05  MoM</dc:subject>
  <dc:creator>M. Sarkarati</dc:creator>
  <cp:keywords/>
  <dc:description/>
  <cp:lastModifiedBy>Mehran Sarkarati</cp:lastModifiedBy>
  <cp:revision>29</cp:revision>
  <cp:lastPrinted>2008-11-20T14:59:00Z</cp:lastPrinted>
  <dcterms:created xsi:type="dcterms:W3CDTF">2016-07-13T08:35:00Z</dcterms:created>
  <dcterms:modified xsi:type="dcterms:W3CDTF">2018-05-16T18:05:00Z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15/05/2018</vt:lpwstr>
  </property>
  <property fmtid="{D5CDD505-2E9C-101B-9397-08002B2CF9AE}" pid="3" name="Reference">
    <vt:lpwstr>MP&amp;S WG Web-Ex 2018_05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16/05/2018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