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79" w:rsidRDefault="00E05779"/>
    <w:tbl>
      <w:tblPr>
        <w:tblW w:w="9606" w:type="dxa"/>
        <w:tblBorders>
          <w:top w:val="nil"/>
          <w:left w:val="nil"/>
          <w:bottom w:val="nil"/>
          <w:right w:val="nil"/>
        </w:tblBorders>
        <w:tblLayout w:type="fixed"/>
        <w:tblLook w:val="0000" w:firstRow="0" w:lastRow="0" w:firstColumn="0" w:lastColumn="0" w:noHBand="0" w:noVBand="0"/>
      </w:tblPr>
      <w:tblGrid>
        <w:gridCol w:w="4503"/>
        <w:gridCol w:w="5103"/>
      </w:tblGrid>
      <w:tr w:rsidR="00E05779" w:rsidRPr="00E97D77" w:rsidTr="00E97D77">
        <w:trPr>
          <w:trHeight w:val="528"/>
        </w:trPr>
        <w:tc>
          <w:tcPr>
            <w:tcW w:w="4503" w:type="dxa"/>
          </w:tcPr>
          <w:p w:rsidR="00E05779" w:rsidRDefault="00E05779" w:rsidP="001155F7">
            <w:pPr>
              <w:pStyle w:val="Default"/>
              <w:rPr>
                <w:sz w:val="23"/>
                <w:szCs w:val="23"/>
              </w:rPr>
            </w:pPr>
            <w:r>
              <w:rPr>
                <w:b/>
                <w:bCs/>
                <w:sz w:val="23"/>
                <w:szCs w:val="23"/>
              </w:rPr>
              <w:t xml:space="preserve">AFNOR/CN46-11 – Archives / Gestion des documents d'activité </w:t>
            </w:r>
          </w:p>
        </w:tc>
        <w:tc>
          <w:tcPr>
            <w:tcW w:w="5103" w:type="dxa"/>
          </w:tcPr>
          <w:p w:rsidR="00E05779" w:rsidRPr="00E97D77" w:rsidRDefault="00E97D77" w:rsidP="001155F7">
            <w:pPr>
              <w:pStyle w:val="Default"/>
              <w:rPr>
                <w:b/>
                <w:bCs/>
                <w:sz w:val="23"/>
                <w:szCs w:val="23"/>
              </w:rPr>
            </w:pPr>
            <w:r w:rsidRPr="00E97D77">
              <w:rPr>
                <w:b/>
                <w:bCs/>
                <w:sz w:val="23"/>
                <w:szCs w:val="23"/>
              </w:rPr>
              <w:t>Association</w:t>
            </w:r>
            <w:r>
              <w:rPr>
                <w:b/>
                <w:bCs/>
                <w:sz w:val="23"/>
                <w:szCs w:val="23"/>
              </w:rPr>
              <w:t xml:space="preserve"> d</w:t>
            </w:r>
            <w:r w:rsidRPr="00E97D77">
              <w:rPr>
                <w:b/>
                <w:bCs/>
                <w:sz w:val="23"/>
                <w:szCs w:val="23"/>
              </w:rPr>
              <w:t>es A</w:t>
            </w:r>
            <w:r>
              <w:rPr>
                <w:b/>
                <w:bCs/>
                <w:sz w:val="23"/>
                <w:szCs w:val="23"/>
              </w:rPr>
              <w:t>r</w:t>
            </w:r>
            <w:r w:rsidR="005E2526">
              <w:rPr>
                <w:b/>
                <w:bCs/>
                <w:sz w:val="23"/>
                <w:szCs w:val="23"/>
              </w:rPr>
              <w:t>chivistes Français, Commission R</w:t>
            </w:r>
            <w:r w:rsidRPr="00E97D77">
              <w:rPr>
                <w:b/>
                <w:bCs/>
                <w:sz w:val="23"/>
                <w:szCs w:val="23"/>
              </w:rPr>
              <w:t xml:space="preserve">ecords Management Gestion des Documents d’Activité  </w:t>
            </w:r>
          </w:p>
          <w:p w:rsidR="00E97D77" w:rsidRPr="00E97D77" w:rsidRDefault="00E97D77" w:rsidP="001155F7">
            <w:pPr>
              <w:pStyle w:val="Default"/>
              <w:rPr>
                <w:b/>
                <w:bCs/>
                <w:sz w:val="23"/>
                <w:szCs w:val="23"/>
              </w:rPr>
            </w:pPr>
          </w:p>
        </w:tc>
      </w:tr>
      <w:tr w:rsidR="00E05779" w:rsidTr="00E97D77">
        <w:trPr>
          <w:trHeight w:val="451"/>
        </w:trPr>
        <w:tc>
          <w:tcPr>
            <w:tcW w:w="4503" w:type="dxa"/>
          </w:tcPr>
          <w:p w:rsidR="00E05779" w:rsidRDefault="00E05779" w:rsidP="001155F7">
            <w:pPr>
              <w:pStyle w:val="Default"/>
              <w:rPr>
                <w:sz w:val="16"/>
                <w:szCs w:val="16"/>
              </w:rPr>
            </w:pPr>
            <w:r>
              <w:rPr>
                <w:sz w:val="16"/>
                <w:szCs w:val="16"/>
              </w:rPr>
              <w:t xml:space="preserve">Date : </w:t>
            </w:r>
          </w:p>
          <w:p w:rsidR="00E05779" w:rsidRDefault="00951A51" w:rsidP="00951A51">
            <w:pPr>
              <w:pStyle w:val="Default"/>
              <w:rPr>
                <w:sz w:val="23"/>
                <w:szCs w:val="23"/>
              </w:rPr>
            </w:pPr>
            <w:r>
              <w:rPr>
                <w:b/>
                <w:bCs/>
                <w:sz w:val="23"/>
                <w:szCs w:val="23"/>
              </w:rPr>
              <w:t>18/04</w:t>
            </w:r>
            <w:r w:rsidR="00E05779">
              <w:rPr>
                <w:b/>
                <w:bCs/>
                <w:sz w:val="23"/>
                <w:szCs w:val="23"/>
              </w:rPr>
              <w:t>/201</w:t>
            </w:r>
            <w:r>
              <w:rPr>
                <w:b/>
                <w:bCs/>
                <w:sz w:val="23"/>
                <w:szCs w:val="23"/>
              </w:rPr>
              <w:t>6</w:t>
            </w:r>
            <w:bookmarkStart w:id="0" w:name="_GoBack"/>
            <w:bookmarkEnd w:id="0"/>
            <w:r w:rsidR="00E05779">
              <w:rPr>
                <w:b/>
                <w:bCs/>
                <w:sz w:val="23"/>
                <w:szCs w:val="23"/>
              </w:rPr>
              <w:t xml:space="preserve"> </w:t>
            </w:r>
          </w:p>
        </w:tc>
        <w:tc>
          <w:tcPr>
            <w:tcW w:w="5103" w:type="dxa"/>
          </w:tcPr>
          <w:p w:rsidR="00E97D77" w:rsidRDefault="00E97D77" w:rsidP="001155F7">
            <w:pPr>
              <w:pStyle w:val="Default"/>
              <w:rPr>
                <w:sz w:val="16"/>
                <w:szCs w:val="16"/>
              </w:rPr>
            </w:pPr>
          </w:p>
          <w:p w:rsidR="00E05779" w:rsidRDefault="00E05779" w:rsidP="001155F7">
            <w:pPr>
              <w:pStyle w:val="Default"/>
              <w:rPr>
                <w:sz w:val="16"/>
                <w:szCs w:val="16"/>
              </w:rPr>
            </w:pPr>
            <w:r>
              <w:rPr>
                <w:sz w:val="16"/>
                <w:szCs w:val="16"/>
              </w:rPr>
              <w:t xml:space="preserve">Numéro du document: </w:t>
            </w:r>
          </w:p>
          <w:p w:rsidR="00E05779" w:rsidRDefault="00E05779" w:rsidP="00E05779">
            <w:pPr>
              <w:pStyle w:val="Default"/>
              <w:rPr>
                <w:sz w:val="23"/>
                <w:szCs w:val="23"/>
              </w:rPr>
            </w:pPr>
            <w:r>
              <w:rPr>
                <w:b/>
                <w:bCs/>
                <w:sz w:val="23"/>
                <w:szCs w:val="23"/>
              </w:rPr>
              <w:t xml:space="preserve">N </w:t>
            </w:r>
          </w:p>
        </w:tc>
      </w:tr>
      <w:tr w:rsidR="00E05779" w:rsidTr="00E97D77">
        <w:trPr>
          <w:trHeight w:val="744"/>
        </w:trPr>
        <w:tc>
          <w:tcPr>
            <w:tcW w:w="4503" w:type="dxa"/>
          </w:tcPr>
          <w:p w:rsidR="00E05779" w:rsidRDefault="00E05779" w:rsidP="001155F7">
            <w:pPr>
              <w:pStyle w:val="Default"/>
              <w:rPr>
                <w:sz w:val="16"/>
                <w:szCs w:val="16"/>
              </w:rPr>
            </w:pPr>
            <w:r>
              <w:rPr>
                <w:b/>
                <w:bCs/>
                <w:i/>
                <w:iCs/>
                <w:sz w:val="16"/>
                <w:szCs w:val="16"/>
              </w:rPr>
              <w:t xml:space="preserve">Assistante : </w:t>
            </w:r>
          </w:p>
        </w:tc>
        <w:tc>
          <w:tcPr>
            <w:tcW w:w="5103" w:type="dxa"/>
          </w:tcPr>
          <w:p w:rsidR="00E05779" w:rsidRDefault="00E05779" w:rsidP="001155F7">
            <w:pPr>
              <w:pStyle w:val="Default"/>
              <w:rPr>
                <w:b/>
                <w:bCs/>
                <w:i/>
                <w:iCs/>
                <w:sz w:val="16"/>
                <w:szCs w:val="16"/>
              </w:rPr>
            </w:pPr>
          </w:p>
          <w:p w:rsidR="00E05779" w:rsidRDefault="00E05779" w:rsidP="001155F7">
            <w:pPr>
              <w:pStyle w:val="Default"/>
              <w:rPr>
                <w:b/>
                <w:bCs/>
                <w:i/>
                <w:iCs/>
                <w:sz w:val="16"/>
                <w:szCs w:val="16"/>
              </w:rPr>
            </w:pPr>
          </w:p>
          <w:p w:rsidR="00E05779" w:rsidRDefault="00E05779" w:rsidP="001155F7">
            <w:pPr>
              <w:pStyle w:val="Default"/>
              <w:rPr>
                <w:sz w:val="16"/>
                <w:szCs w:val="16"/>
              </w:rPr>
            </w:pPr>
            <w:r>
              <w:rPr>
                <w:i/>
                <w:iCs/>
                <w:sz w:val="16"/>
                <w:szCs w:val="16"/>
              </w:rPr>
              <w:t xml:space="preserve"> </w:t>
            </w:r>
          </w:p>
        </w:tc>
      </w:tr>
    </w:tbl>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autoSpaceDE w:val="0"/>
        <w:autoSpaceDN w:val="0"/>
        <w:adjustRightInd w:val="0"/>
        <w:spacing w:before="0"/>
        <w:jc w:val="center"/>
        <w:rPr>
          <w:rFonts w:ascii="Arial" w:hAnsi="Arial" w:cs="Arial"/>
          <w:b/>
          <w:bCs/>
          <w:color w:val="000000"/>
          <w:sz w:val="36"/>
          <w:szCs w:val="36"/>
          <w:lang w:val="en-US"/>
        </w:rPr>
      </w:pPr>
      <w:proofErr w:type="gramStart"/>
      <w:r w:rsidRPr="00E05779">
        <w:rPr>
          <w:rFonts w:ascii="Arial" w:hAnsi="Arial" w:cs="Arial"/>
          <w:b/>
          <w:bCs/>
          <w:color w:val="000000"/>
          <w:sz w:val="36"/>
          <w:szCs w:val="36"/>
          <w:lang w:val="en-US"/>
        </w:rPr>
        <w:t>ISO23081 SYTEMATIC REVIEW.</w:t>
      </w:r>
      <w:proofErr w:type="gramEnd"/>
    </w:p>
    <w:p w:rsidR="00E05779" w:rsidRDefault="00E05779" w:rsidP="00E05779">
      <w:pPr>
        <w:autoSpaceDE w:val="0"/>
        <w:autoSpaceDN w:val="0"/>
        <w:adjustRightInd w:val="0"/>
        <w:spacing w:before="0"/>
        <w:jc w:val="center"/>
        <w:rPr>
          <w:rFonts w:ascii="Arial" w:hAnsi="Arial" w:cs="Arial"/>
          <w:b/>
          <w:bCs/>
          <w:color w:val="000000"/>
          <w:sz w:val="36"/>
          <w:szCs w:val="36"/>
          <w:lang w:val="en-US"/>
        </w:rPr>
      </w:pPr>
      <w:r w:rsidRPr="00E05779">
        <w:rPr>
          <w:rFonts w:ascii="Arial" w:hAnsi="Arial" w:cs="Arial"/>
          <w:b/>
          <w:bCs/>
          <w:color w:val="000000"/>
          <w:sz w:val="36"/>
          <w:szCs w:val="36"/>
          <w:lang w:val="en-US"/>
        </w:rPr>
        <w:t>France.</w:t>
      </w:r>
    </w:p>
    <w:p w:rsidR="00E05779" w:rsidRDefault="00E05779" w:rsidP="00E05779">
      <w:pPr>
        <w:autoSpaceDE w:val="0"/>
        <w:autoSpaceDN w:val="0"/>
        <w:adjustRightInd w:val="0"/>
        <w:spacing w:before="0"/>
        <w:jc w:val="center"/>
        <w:rPr>
          <w:lang w:val="en-US"/>
        </w:rPr>
      </w:pPr>
      <w:r w:rsidRPr="00E05779">
        <w:rPr>
          <w:rFonts w:ascii="Arial" w:hAnsi="Arial" w:cs="Arial"/>
          <w:b/>
          <w:bCs/>
          <w:color w:val="000000"/>
          <w:sz w:val="36"/>
          <w:szCs w:val="36"/>
          <w:lang w:val="en-US"/>
        </w:rPr>
        <w:t>Attached document</w:t>
      </w:r>
      <w:r w:rsidR="005C7FE0">
        <w:rPr>
          <w:rFonts w:ascii="Arial" w:hAnsi="Arial" w:cs="Arial"/>
          <w:b/>
          <w:bCs/>
          <w:color w:val="000000"/>
          <w:sz w:val="36"/>
          <w:szCs w:val="36"/>
          <w:lang w:val="en-US"/>
        </w:rPr>
        <w:t xml:space="preserve"> </w:t>
      </w:r>
      <w:r w:rsidR="00E97D77">
        <w:rPr>
          <w:rFonts w:ascii="Arial" w:hAnsi="Arial" w:cs="Arial"/>
          <w:b/>
          <w:bCs/>
          <w:color w:val="000000"/>
          <w:sz w:val="36"/>
          <w:szCs w:val="36"/>
          <w:lang w:val="en-US"/>
        </w:rPr>
        <w:t>B</w:t>
      </w: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rsidP="00E05779">
      <w:pPr>
        <w:pStyle w:val="Textebrut"/>
        <w:rPr>
          <w:lang w:val="en-US"/>
        </w:rPr>
      </w:pPr>
    </w:p>
    <w:p w:rsidR="00E05779" w:rsidRDefault="00E05779">
      <w:pPr>
        <w:rPr>
          <w:rFonts w:ascii="Calibri" w:hAnsi="Calibri" w:cs="Consolas"/>
          <w:szCs w:val="21"/>
          <w:lang w:val="en-US"/>
        </w:rPr>
      </w:pPr>
      <w:r>
        <w:rPr>
          <w:lang w:val="en-US"/>
        </w:rPr>
        <w:br w:type="page"/>
      </w:r>
    </w:p>
    <w:p w:rsidR="00E05779" w:rsidRDefault="00E05779" w:rsidP="00E05779">
      <w:pPr>
        <w:pStyle w:val="Textebrut"/>
        <w:rPr>
          <w:lang w:val="en-US"/>
        </w:rPr>
      </w:pPr>
    </w:p>
    <w:p w:rsidR="008A20A7" w:rsidRPr="008A20A7" w:rsidRDefault="008A20A7" w:rsidP="008A20A7">
      <w:pPr>
        <w:rPr>
          <w:lang w:val="en-US"/>
        </w:rPr>
      </w:pPr>
      <w:r w:rsidRPr="008A20A7">
        <w:rPr>
          <w:lang w:val="en-US"/>
        </w:rPr>
        <w:t xml:space="preserve">Within the frame of the AFNOR SC11 French mirror committee and the RM </w:t>
      </w:r>
      <w:proofErr w:type="gramStart"/>
      <w:r w:rsidRPr="008A20A7">
        <w:rPr>
          <w:lang w:val="en-US"/>
        </w:rPr>
        <w:t>Committee  of</w:t>
      </w:r>
      <w:proofErr w:type="gramEnd"/>
      <w:r w:rsidRPr="008A20A7">
        <w:rPr>
          <w:lang w:val="en-US"/>
        </w:rPr>
        <w:t xml:space="preserve"> the Association of French Archivists, we created an experts group working on EDRMS </w:t>
      </w:r>
      <w:proofErr w:type="spellStart"/>
      <w:r w:rsidRPr="008A20A7">
        <w:rPr>
          <w:lang w:val="en-US"/>
        </w:rPr>
        <w:t>softwares</w:t>
      </w:r>
      <w:proofErr w:type="spellEnd"/>
      <w:r w:rsidRPr="008A20A7">
        <w:rPr>
          <w:lang w:val="en-US"/>
        </w:rPr>
        <w:t xml:space="preserve"> and the metadata  to implement. Indeed, in France and in Europe there are no "official</w:t>
      </w:r>
      <w:proofErr w:type="gramStart"/>
      <w:r w:rsidRPr="008A20A7">
        <w:rPr>
          <w:lang w:val="en-US"/>
        </w:rPr>
        <w:t>"  MD</w:t>
      </w:r>
      <w:proofErr w:type="gramEnd"/>
      <w:r w:rsidRPr="008A20A7">
        <w:rPr>
          <w:lang w:val="en-US"/>
        </w:rPr>
        <w:t xml:space="preserve"> schema and it lacks both records managers and industrials. However, in France we have </w:t>
      </w:r>
      <w:proofErr w:type="gramStart"/>
      <w:r w:rsidRPr="008A20A7">
        <w:rPr>
          <w:lang w:val="en-US"/>
        </w:rPr>
        <w:t>strong  legal</w:t>
      </w:r>
      <w:proofErr w:type="gramEnd"/>
      <w:r w:rsidRPr="008A20A7">
        <w:rPr>
          <w:lang w:val="en-US"/>
        </w:rPr>
        <w:t xml:space="preserve"> requirements for authenticity (probative value of digital writing, 2000). Charlotte </w:t>
      </w:r>
      <w:proofErr w:type="spellStart"/>
      <w:r w:rsidRPr="008A20A7">
        <w:rPr>
          <w:lang w:val="en-US"/>
        </w:rPr>
        <w:t>Maday</w:t>
      </w:r>
      <w:proofErr w:type="spellEnd"/>
      <w:r w:rsidRPr="008A20A7">
        <w:rPr>
          <w:lang w:val="en-US"/>
        </w:rPr>
        <w:t xml:space="preserve"> and Marion </w:t>
      </w:r>
      <w:proofErr w:type="spellStart"/>
      <w:r w:rsidRPr="008A20A7">
        <w:rPr>
          <w:lang w:val="en-US"/>
        </w:rPr>
        <w:t>Taillefer</w:t>
      </w:r>
      <w:proofErr w:type="spellEnd"/>
      <w:r w:rsidRPr="008A20A7">
        <w:rPr>
          <w:lang w:val="en-US"/>
        </w:rPr>
        <w:t xml:space="preserve"> have published an article in "La Gazette des Archives" in 2012, studying the requirements for MD in RM standards (ISO15489, ISO 23081, ISO16175 ...). Then we published the </w:t>
      </w:r>
      <w:proofErr w:type="gramStart"/>
      <w:r w:rsidRPr="008A20A7">
        <w:rPr>
          <w:lang w:val="en-US"/>
        </w:rPr>
        <w:t>international  White</w:t>
      </w:r>
      <w:proofErr w:type="gramEnd"/>
      <w:r w:rsidRPr="008A20A7">
        <w:rPr>
          <w:lang w:val="en-US"/>
        </w:rPr>
        <w:t xml:space="preserve"> Paper on MD for RM in 2013. In 2015, we organized a study day on existing software and applications and their MD. The expert </w:t>
      </w:r>
      <w:proofErr w:type="gramStart"/>
      <w:r w:rsidRPr="008A20A7">
        <w:rPr>
          <w:lang w:val="en-US"/>
        </w:rPr>
        <w:t>group  studied</w:t>
      </w:r>
      <w:proofErr w:type="gramEnd"/>
      <w:r w:rsidRPr="008A20A7">
        <w:rPr>
          <w:lang w:val="en-US"/>
        </w:rPr>
        <w:t xml:space="preserve"> a corpus of  international and national MD schemas and established  a list of minimal  MD for RM (and compare with the needs of MD  long-term electronic archiving, exchange standards ...).</w:t>
      </w:r>
    </w:p>
    <w:p w:rsidR="009E04C0" w:rsidRDefault="008A20A7" w:rsidP="008A20A7">
      <w:pPr>
        <w:rPr>
          <w:lang w:val="en-US"/>
        </w:rPr>
      </w:pPr>
      <w:r w:rsidRPr="008A20A7">
        <w:rPr>
          <w:lang w:val="en-US"/>
        </w:rPr>
        <w:t>Th</w:t>
      </w:r>
      <w:r w:rsidR="008647DF">
        <w:rPr>
          <w:lang w:val="en-US"/>
        </w:rPr>
        <w:t>e</w:t>
      </w:r>
      <w:r w:rsidR="00876944">
        <w:rPr>
          <w:lang w:val="en-US"/>
        </w:rPr>
        <w:t xml:space="preserve"> </w:t>
      </w:r>
      <w:r w:rsidR="008647DF">
        <w:rPr>
          <w:lang w:val="en-US"/>
        </w:rPr>
        <w:t xml:space="preserve">members of the group are : </w:t>
      </w:r>
      <w:r w:rsidR="009E04C0" w:rsidRPr="009E04C0">
        <w:rPr>
          <w:lang w:val="en-US"/>
        </w:rPr>
        <w:t xml:space="preserve"> </w:t>
      </w:r>
      <w:r w:rsidR="009E04C0">
        <w:rPr>
          <w:lang w:val="en-US"/>
        </w:rPr>
        <w:t xml:space="preserve"> </w:t>
      </w:r>
      <w:proofErr w:type="spellStart"/>
      <w:r w:rsidR="009E04C0">
        <w:rPr>
          <w:lang w:val="en-US"/>
        </w:rPr>
        <w:t>W</w:t>
      </w:r>
      <w:r w:rsidR="009E04C0" w:rsidRPr="009E04C0">
        <w:rPr>
          <w:lang w:val="en-US"/>
        </w:rPr>
        <w:t>alid</w:t>
      </w:r>
      <w:proofErr w:type="spellEnd"/>
      <w:r w:rsidR="009E04C0" w:rsidRPr="009E04C0">
        <w:rPr>
          <w:lang w:val="en-US"/>
        </w:rPr>
        <w:t xml:space="preserve"> </w:t>
      </w:r>
      <w:proofErr w:type="spellStart"/>
      <w:r w:rsidR="009E04C0">
        <w:rPr>
          <w:lang w:val="en-US"/>
        </w:rPr>
        <w:t>B</w:t>
      </w:r>
      <w:r w:rsidR="009E04C0" w:rsidRPr="009E04C0">
        <w:rPr>
          <w:lang w:val="en-US"/>
        </w:rPr>
        <w:t>rahim</w:t>
      </w:r>
      <w:proofErr w:type="spellEnd"/>
      <w:r w:rsidR="009E04C0" w:rsidRPr="009E04C0">
        <w:rPr>
          <w:lang w:val="en-US"/>
        </w:rPr>
        <w:t xml:space="preserve">; </w:t>
      </w:r>
      <w:r w:rsidR="009E04C0">
        <w:rPr>
          <w:lang w:val="en-US"/>
        </w:rPr>
        <w:t>A</w:t>
      </w:r>
      <w:r w:rsidR="009E04C0" w:rsidRPr="009E04C0">
        <w:rPr>
          <w:lang w:val="en-US"/>
        </w:rPr>
        <w:t>gnes</w:t>
      </w:r>
      <w:r w:rsidR="009E04C0">
        <w:rPr>
          <w:lang w:val="en-US"/>
        </w:rPr>
        <w:t xml:space="preserve"> R</w:t>
      </w:r>
      <w:r w:rsidR="009E04C0" w:rsidRPr="009E04C0">
        <w:rPr>
          <w:lang w:val="en-US"/>
        </w:rPr>
        <w:t>ipoll</w:t>
      </w:r>
      <w:r w:rsidR="009E04C0">
        <w:rPr>
          <w:lang w:val="en-US"/>
        </w:rPr>
        <w:t>-</w:t>
      </w:r>
      <w:proofErr w:type="spellStart"/>
      <w:r w:rsidR="009E04C0">
        <w:rPr>
          <w:lang w:val="en-US"/>
        </w:rPr>
        <w:t>G</w:t>
      </w:r>
      <w:r w:rsidR="009E04C0" w:rsidRPr="009E04C0">
        <w:rPr>
          <w:lang w:val="en-US"/>
        </w:rPr>
        <w:t>hys</w:t>
      </w:r>
      <w:proofErr w:type="spellEnd"/>
      <w:r w:rsidR="009E04C0">
        <w:rPr>
          <w:lang w:val="en-US"/>
        </w:rPr>
        <w:t xml:space="preserve">, Anne </w:t>
      </w:r>
      <w:proofErr w:type="spellStart"/>
      <w:r w:rsidR="009E04C0" w:rsidRPr="009E04C0">
        <w:rPr>
          <w:lang w:val="en-US"/>
        </w:rPr>
        <w:t>Poncet</w:t>
      </w:r>
      <w:proofErr w:type="spellEnd"/>
      <w:r w:rsidR="009E04C0" w:rsidRPr="009E04C0">
        <w:rPr>
          <w:lang w:val="en-US"/>
        </w:rPr>
        <w:t xml:space="preserve"> </w:t>
      </w:r>
      <w:r w:rsidR="009E04C0">
        <w:rPr>
          <w:lang w:val="en-US"/>
        </w:rPr>
        <w:t xml:space="preserve">, Jean-Daniel </w:t>
      </w:r>
      <w:r w:rsidR="009E04C0" w:rsidRPr="009E04C0">
        <w:rPr>
          <w:lang w:val="en-US"/>
        </w:rPr>
        <w:t>Z</w:t>
      </w:r>
      <w:r w:rsidR="009E04C0">
        <w:rPr>
          <w:lang w:val="en-US"/>
        </w:rPr>
        <w:t xml:space="preserve">eller (Geneva, Switzerland) </w:t>
      </w:r>
      <w:r w:rsidR="009E04C0" w:rsidRPr="009E04C0">
        <w:rPr>
          <w:lang w:val="en-US"/>
        </w:rPr>
        <w:t xml:space="preserve"> </w:t>
      </w:r>
      <w:r w:rsidR="009E04C0">
        <w:rPr>
          <w:lang w:val="en-US"/>
        </w:rPr>
        <w:t>B</w:t>
      </w:r>
      <w:r w:rsidR="009E04C0" w:rsidRPr="009E04C0">
        <w:rPr>
          <w:lang w:val="en-US"/>
        </w:rPr>
        <w:t>ernard</w:t>
      </w:r>
      <w:r w:rsidR="009E04C0">
        <w:rPr>
          <w:lang w:val="en-US"/>
        </w:rPr>
        <w:t xml:space="preserve"> </w:t>
      </w:r>
      <w:proofErr w:type="spellStart"/>
      <w:r w:rsidR="009E04C0">
        <w:rPr>
          <w:lang w:val="en-US"/>
        </w:rPr>
        <w:t>O</w:t>
      </w:r>
      <w:r w:rsidR="009E04C0" w:rsidRPr="009E04C0">
        <w:rPr>
          <w:lang w:val="en-US"/>
        </w:rPr>
        <w:t>uillon</w:t>
      </w:r>
      <w:proofErr w:type="spellEnd"/>
      <w:r w:rsidR="009E04C0">
        <w:rPr>
          <w:lang w:val="en-US"/>
        </w:rPr>
        <w:t xml:space="preserve"> ,</w:t>
      </w:r>
      <w:r w:rsidR="009E04C0" w:rsidRPr="009E04C0">
        <w:rPr>
          <w:lang w:val="en-US"/>
        </w:rPr>
        <w:t xml:space="preserve">Charlotte </w:t>
      </w:r>
      <w:proofErr w:type="spellStart"/>
      <w:r w:rsidR="009E04C0" w:rsidRPr="009E04C0">
        <w:rPr>
          <w:lang w:val="en-US"/>
        </w:rPr>
        <w:t>Maday</w:t>
      </w:r>
      <w:proofErr w:type="spellEnd"/>
      <w:r w:rsidR="009E04C0">
        <w:rPr>
          <w:lang w:val="en-US"/>
        </w:rPr>
        <w:t xml:space="preserve"> , C</w:t>
      </w:r>
      <w:r w:rsidR="009E04C0" w:rsidRPr="009E04C0">
        <w:rPr>
          <w:lang w:val="en-US"/>
        </w:rPr>
        <w:t>atherine</w:t>
      </w:r>
      <w:r w:rsidR="009E04C0">
        <w:rPr>
          <w:lang w:val="en-US"/>
        </w:rPr>
        <w:t xml:space="preserve"> F</w:t>
      </w:r>
      <w:r w:rsidR="009E04C0" w:rsidRPr="009E04C0">
        <w:rPr>
          <w:lang w:val="en-US"/>
        </w:rPr>
        <w:t>ernandez</w:t>
      </w:r>
      <w:r w:rsidR="009E04C0">
        <w:rPr>
          <w:lang w:val="en-US"/>
        </w:rPr>
        <w:t>,</w:t>
      </w:r>
      <w:r w:rsidR="009E04C0" w:rsidRPr="009E04C0">
        <w:rPr>
          <w:lang w:val="en-US"/>
        </w:rPr>
        <w:t xml:space="preserve"> Sylvie </w:t>
      </w:r>
      <w:proofErr w:type="spellStart"/>
      <w:r w:rsidR="009E04C0" w:rsidRPr="009E04C0">
        <w:rPr>
          <w:lang w:val="en-US"/>
        </w:rPr>
        <w:t>Forastier</w:t>
      </w:r>
      <w:proofErr w:type="spellEnd"/>
      <w:r w:rsidR="009E04C0">
        <w:rPr>
          <w:lang w:val="en-US"/>
        </w:rPr>
        <w:t xml:space="preserve"> (Luxembourg) </w:t>
      </w:r>
      <w:r w:rsidR="009E04C0" w:rsidRPr="009E04C0">
        <w:rPr>
          <w:lang w:val="en-US"/>
        </w:rPr>
        <w:t xml:space="preserve">Frederic </w:t>
      </w:r>
      <w:proofErr w:type="spellStart"/>
      <w:r w:rsidR="009E04C0" w:rsidRPr="009E04C0">
        <w:rPr>
          <w:lang w:val="en-US"/>
        </w:rPr>
        <w:t>Grevin</w:t>
      </w:r>
      <w:proofErr w:type="spellEnd"/>
      <w:r w:rsidR="009E04C0" w:rsidRPr="009E04C0">
        <w:rPr>
          <w:lang w:val="en-US"/>
        </w:rPr>
        <w:t xml:space="preserve"> (New-York, USA), Marianne </w:t>
      </w:r>
      <w:proofErr w:type="spellStart"/>
      <w:r w:rsidR="009E04C0" w:rsidRPr="009E04C0">
        <w:rPr>
          <w:lang w:val="en-US"/>
        </w:rPr>
        <w:t>Aptel</w:t>
      </w:r>
      <w:proofErr w:type="spellEnd"/>
      <w:r w:rsidR="009E04C0" w:rsidRPr="009E04C0">
        <w:rPr>
          <w:lang w:val="en-US"/>
        </w:rPr>
        <w:t xml:space="preserve">, Sylvie </w:t>
      </w:r>
      <w:proofErr w:type="spellStart"/>
      <w:r w:rsidR="009E04C0" w:rsidRPr="009E04C0">
        <w:rPr>
          <w:lang w:val="en-US"/>
        </w:rPr>
        <w:t>Dessolin</w:t>
      </w:r>
      <w:proofErr w:type="spellEnd"/>
      <w:r w:rsidR="009E04C0" w:rsidRPr="009E04C0">
        <w:rPr>
          <w:lang w:val="en-US"/>
        </w:rPr>
        <w:t>-Baumann</w:t>
      </w:r>
    </w:p>
    <w:p w:rsidR="008A20A7" w:rsidRPr="009E04C0" w:rsidRDefault="009E04C0" w:rsidP="008A20A7">
      <w:pPr>
        <w:rPr>
          <w:lang w:val="en-US"/>
        </w:rPr>
      </w:pPr>
      <w:r w:rsidRPr="009E04C0">
        <w:rPr>
          <w:lang w:val="en-US"/>
        </w:rPr>
        <w:t xml:space="preserve">with the support of : Lucas Colet (Luxembourg), Arnaud Jules, Michel </w:t>
      </w:r>
      <w:proofErr w:type="spellStart"/>
      <w:r w:rsidRPr="009E04C0">
        <w:rPr>
          <w:lang w:val="en-US"/>
        </w:rPr>
        <w:t>Cottin</w:t>
      </w:r>
      <w:proofErr w:type="spellEnd"/>
      <w:r w:rsidRPr="009E04C0">
        <w:rPr>
          <w:lang w:val="en-US"/>
        </w:rPr>
        <w:t xml:space="preserve">, Sabine Mas (Montréal, Canada) Michel </w:t>
      </w:r>
      <w:proofErr w:type="spellStart"/>
      <w:r w:rsidRPr="009E04C0">
        <w:rPr>
          <w:lang w:val="en-US"/>
        </w:rPr>
        <w:t>Roberge</w:t>
      </w:r>
      <w:proofErr w:type="spellEnd"/>
      <w:r w:rsidRPr="009E04C0">
        <w:rPr>
          <w:lang w:val="en-US"/>
        </w:rPr>
        <w:t xml:space="preserve">  (Montréal, Canada) , </w:t>
      </w:r>
      <w:proofErr w:type="spellStart"/>
      <w:r w:rsidRPr="009E04C0">
        <w:rPr>
          <w:lang w:val="en-US"/>
        </w:rPr>
        <w:t>Frédérique</w:t>
      </w:r>
      <w:proofErr w:type="spellEnd"/>
      <w:r w:rsidRPr="009E04C0">
        <w:rPr>
          <w:lang w:val="en-US"/>
        </w:rPr>
        <w:t xml:space="preserve"> </w:t>
      </w:r>
      <w:proofErr w:type="spellStart"/>
      <w:r w:rsidRPr="009E04C0">
        <w:rPr>
          <w:lang w:val="en-US"/>
        </w:rPr>
        <w:t>Fleisch</w:t>
      </w:r>
      <w:proofErr w:type="spellEnd"/>
      <w:r w:rsidR="008647DF">
        <w:rPr>
          <w:lang w:val="en-US"/>
        </w:rPr>
        <w:t>.</w:t>
      </w:r>
      <w:r w:rsidRPr="009E04C0">
        <w:rPr>
          <w:lang w:val="en-US"/>
        </w:rPr>
        <w:t xml:space="preserve"> </w:t>
      </w:r>
    </w:p>
    <w:p w:rsidR="008A20A7" w:rsidRPr="008A20A7" w:rsidRDefault="008A20A7" w:rsidP="008A20A7">
      <w:pPr>
        <w:rPr>
          <w:lang w:val="en-US"/>
        </w:rPr>
      </w:pPr>
      <w:r w:rsidRPr="008A20A7">
        <w:rPr>
          <w:lang w:val="en-US"/>
        </w:rPr>
        <w:t xml:space="preserve">A first step of the study was presented at </w:t>
      </w:r>
      <w:proofErr w:type="gramStart"/>
      <w:r w:rsidRPr="008A20A7">
        <w:rPr>
          <w:lang w:val="en-US"/>
        </w:rPr>
        <w:t>the  study</w:t>
      </w:r>
      <w:proofErr w:type="gramEnd"/>
      <w:r w:rsidRPr="008A20A7">
        <w:rPr>
          <w:lang w:val="en-US"/>
        </w:rPr>
        <w:t xml:space="preserve"> day on 2 October 2015. We are currently engaged in a second phase, with further analysis. Indeed, we must still confirm with different countries and issuers </w:t>
      </w:r>
      <w:proofErr w:type="gramStart"/>
      <w:r w:rsidRPr="008A20A7">
        <w:rPr>
          <w:lang w:val="en-US"/>
        </w:rPr>
        <w:t>institutions  (</w:t>
      </w:r>
      <w:proofErr w:type="gramEnd"/>
      <w:r w:rsidRPr="008A20A7">
        <w:rPr>
          <w:lang w:val="en-US"/>
        </w:rPr>
        <w:t>because all schemes categorize and group the "sub elements" differently)</w:t>
      </w:r>
    </w:p>
    <w:p w:rsidR="00E04F07" w:rsidRPr="00E04F07" w:rsidRDefault="00E04F07" w:rsidP="00E04F07">
      <w:pPr>
        <w:rPr>
          <w:lang w:val="en-US"/>
        </w:rPr>
      </w:pPr>
      <w:proofErr w:type="gramStart"/>
      <w:r w:rsidRPr="00E04F07">
        <w:rPr>
          <w:lang w:val="en-US"/>
        </w:rPr>
        <w:t>The  study</w:t>
      </w:r>
      <w:proofErr w:type="gramEnd"/>
      <w:r w:rsidRPr="00E04F07">
        <w:rPr>
          <w:lang w:val="en-US"/>
        </w:rPr>
        <w:t xml:space="preserve"> consists in comparing significant metadata sets, in order to define recurring information and produce input to define a minimal set of metadata. </w:t>
      </w:r>
      <w:r w:rsidR="009D1CC1" w:rsidRPr="009D1CC1">
        <w:rPr>
          <w:lang w:val="en-US"/>
        </w:rPr>
        <w:t>These sets are mostly based on existing RM standards requirements</w:t>
      </w:r>
      <w:r w:rsidRPr="00E04F07">
        <w:rPr>
          <w:lang w:val="en-US"/>
        </w:rPr>
        <w:t xml:space="preserve"> </w:t>
      </w:r>
    </w:p>
    <w:p w:rsidR="00E04F07" w:rsidRPr="00E04F07" w:rsidRDefault="00E04F07" w:rsidP="00E04F07">
      <w:pPr>
        <w:rPr>
          <w:lang w:val="en-US"/>
        </w:rPr>
      </w:pPr>
      <w:r w:rsidRPr="00E04F07">
        <w:rPr>
          <w:lang w:val="en-US"/>
        </w:rPr>
        <w:t xml:space="preserve">They </w:t>
      </w:r>
      <w:proofErr w:type="gramStart"/>
      <w:r w:rsidRPr="00E04F07">
        <w:rPr>
          <w:lang w:val="en-US"/>
        </w:rPr>
        <w:t>are  issued</w:t>
      </w:r>
      <w:proofErr w:type="gramEnd"/>
      <w:r w:rsidRPr="00E04F07">
        <w:rPr>
          <w:lang w:val="en-US"/>
        </w:rPr>
        <w:t xml:space="preserve">  from twelve organizations : </w:t>
      </w:r>
    </w:p>
    <w:p w:rsidR="00E04F07" w:rsidRPr="00E04F07" w:rsidRDefault="00E04F07" w:rsidP="00E04F07">
      <w:pPr>
        <w:rPr>
          <w:lang w:val="en-US"/>
        </w:rPr>
      </w:pPr>
      <w:r w:rsidRPr="00E04F07">
        <w:rPr>
          <w:lang w:val="en-US"/>
        </w:rPr>
        <w:t>-</w:t>
      </w:r>
      <w:r w:rsidRPr="00E04F07">
        <w:rPr>
          <w:lang w:val="en-US"/>
        </w:rPr>
        <w:tab/>
        <w:t>2 international sets (</w:t>
      </w:r>
      <w:proofErr w:type="gramStart"/>
      <w:r w:rsidRPr="00E04F07">
        <w:rPr>
          <w:lang w:val="en-US"/>
        </w:rPr>
        <w:t>UN ,</w:t>
      </w:r>
      <w:proofErr w:type="gramEnd"/>
      <w:r w:rsidRPr="00E04F07">
        <w:rPr>
          <w:lang w:val="en-US"/>
        </w:rPr>
        <w:t xml:space="preserve"> EC)</w:t>
      </w:r>
    </w:p>
    <w:p w:rsidR="00E04F07" w:rsidRPr="00E04F07" w:rsidRDefault="00E04F07" w:rsidP="00E04F07">
      <w:pPr>
        <w:rPr>
          <w:lang w:val="en-US"/>
        </w:rPr>
      </w:pPr>
      <w:r w:rsidRPr="00E04F07">
        <w:rPr>
          <w:lang w:val="en-US"/>
        </w:rPr>
        <w:t>-</w:t>
      </w:r>
      <w:r w:rsidRPr="00E04F07">
        <w:rPr>
          <w:lang w:val="en-US"/>
        </w:rPr>
        <w:tab/>
        <w:t>6 national organizations</w:t>
      </w:r>
      <w:r>
        <w:rPr>
          <w:lang w:val="en-US"/>
        </w:rPr>
        <w:t>/governments</w:t>
      </w:r>
      <w:r w:rsidRPr="00E04F07">
        <w:rPr>
          <w:lang w:val="en-US"/>
        </w:rPr>
        <w:t xml:space="preserve"> </w:t>
      </w:r>
      <w:proofErr w:type="gramStart"/>
      <w:r w:rsidRPr="00E04F07">
        <w:rPr>
          <w:lang w:val="en-US"/>
        </w:rPr>
        <w:t>( Great</w:t>
      </w:r>
      <w:proofErr w:type="gramEnd"/>
      <w:r w:rsidRPr="00E04F07">
        <w:rPr>
          <w:lang w:val="en-US"/>
        </w:rPr>
        <w:t xml:space="preserve"> Britain, Australia, Spain, Luxembourg, Canadian Federal Government , Switzerland)</w:t>
      </w:r>
    </w:p>
    <w:p w:rsidR="00E04F07" w:rsidRPr="00E04F07" w:rsidRDefault="00E04F07" w:rsidP="00E04F07">
      <w:pPr>
        <w:rPr>
          <w:lang w:val="en-US"/>
        </w:rPr>
      </w:pPr>
      <w:r w:rsidRPr="00E04F07">
        <w:rPr>
          <w:lang w:val="en-US"/>
        </w:rPr>
        <w:t>-</w:t>
      </w:r>
      <w:r w:rsidRPr="00E04F07">
        <w:rPr>
          <w:lang w:val="en-US"/>
        </w:rPr>
        <w:tab/>
        <w:t>1 Canadian provincial government (Quebec)</w:t>
      </w:r>
    </w:p>
    <w:p w:rsidR="00E04F07" w:rsidRPr="00E04F07" w:rsidRDefault="00E04F07" w:rsidP="00E04F07">
      <w:pPr>
        <w:rPr>
          <w:lang w:val="en-US"/>
        </w:rPr>
      </w:pPr>
      <w:r w:rsidRPr="00E04F07">
        <w:rPr>
          <w:lang w:val="en-US"/>
        </w:rPr>
        <w:t>-</w:t>
      </w:r>
      <w:r w:rsidRPr="00E04F07">
        <w:rPr>
          <w:lang w:val="en-US"/>
        </w:rPr>
        <w:tab/>
        <w:t xml:space="preserve">1 </w:t>
      </w:r>
      <w:proofErr w:type="gramStart"/>
      <w:r w:rsidRPr="00E04F07">
        <w:rPr>
          <w:lang w:val="en-US"/>
        </w:rPr>
        <w:t>French  government</w:t>
      </w:r>
      <w:proofErr w:type="gramEnd"/>
      <w:r w:rsidRPr="00E04F07">
        <w:rPr>
          <w:lang w:val="en-US"/>
        </w:rPr>
        <w:t xml:space="preserve"> department</w:t>
      </w:r>
    </w:p>
    <w:p w:rsidR="00E04F07" w:rsidRPr="00E04F07" w:rsidRDefault="00E04F07" w:rsidP="00E04F07">
      <w:pPr>
        <w:rPr>
          <w:lang w:val="en-US"/>
        </w:rPr>
      </w:pPr>
      <w:r w:rsidRPr="00E04F07">
        <w:rPr>
          <w:lang w:val="en-US"/>
        </w:rPr>
        <w:t>-</w:t>
      </w:r>
      <w:r w:rsidRPr="00E04F07">
        <w:rPr>
          <w:lang w:val="en-US"/>
        </w:rPr>
        <w:tab/>
        <w:t xml:space="preserve">1 </w:t>
      </w:r>
      <w:proofErr w:type="gramStart"/>
      <w:r w:rsidRPr="00E04F07">
        <w:rPr>
          <w:lang w:val="en-US"/>
        </w:rPr>
        <w:t>French  international</w:t>
      </w:r>
      <w:proofErr w:type="gramEnd"/>
      <w:r w:rsidRPr="00E04F07">
        <w:rPr>
          <w:lang w:val="en-US"/>
        </w:rPr>
        <w:t xml:space="preserve"> company</w:t>
      </w:r>
    </w:p>
    <w:p w:rsidR="00E04F07" w:rsidRPr="00E04F07" w:rsidRDefault="00E04F07" w:rsidP="00E04F07">
      <w:pPr>
        <w:rPr>
          <w:lang w:val="en-US"/>
        </w:rPr>
      </w:pPr>
      <w:proofErr w:type="gramStart"/>
      <w:r w:rsidRPr="00E04F07">
        <w:rPr>
          <w:lang w:val="en-US"/>
        </w:rPr>
        <w:t xml:space="preserve">-      </w:t>
      </w:r>
      <w:r>
        <w:rPr>
          <w:lang w:val="en-US"/>
        </w:rPr>
        <w:tab/>
      </w:r>
      <w:r w:rsidRPr="00E04F07">
        <w:rPr>
          <w:lang w:val="en-US"/>
        </w:rPr>
        <w:t>1 French EDRMS software</w:t>
      </w:r>
      <w:proofErr w:type="gramEnd"/>
    </w:p>
    <w:p w:rsidR="009D1CC1" w:rsidRDefault="009D1CC1">
      <w:pPr>
        <w:rPr>
          <w:lang w:val="en-US"/>
        </w:rPr>
      </w:pPr>
      <w:r>
        <w:rPr>
          <w:lang w:val="en-US"/>
        </w:rPr>
        <w:br w:type="page"/>
      </w:r>
    </w:p>
    <w:p w:rsidR="00E04F07" w:rsidRPr="00E04F07" w:rsidRDefault="00E04F07" w:rsidP="00E04F07">
      <w:pPr>
        <w:rPr>
          <w:lang w:val="en-US"/>
        </w:rPr>
      </w:pPr>
    </w:p>
    <w:p w:rsidR="00E04F07" w:rsidRDefault="00E04F07" w:rsidP="00E04F07">
      <w:pPr>
        <w:rPr>
          <w:lang w:val="en-US"/>
        </w:rPr>
      </w:pPr>
      <w:r w:rsidRPr="00E04F07">
        <w:rPr>
          <w:lang w:val="en-US"/>
        </w:rPr>
        <w:t>As a result of this analysis, we identified recurring metadata elements</w:t>
      </w:r>
      <w:r w:rsidR="00596909">
        <w:rPr>
          <w:lang w:val="en-US"/>
        </w:rPr>
        <w:t>. T</w:t>
      </w:r>
      <w:r w:rsidRPr="00E04F07">
        <w:rPr>
          <w:lang w:val="en-US"/>
        </w:rPr>
        <w:t xml:space="preserve">he most common </w:t>
      </w:r>
      <w:r w:rsidR="00596909">
        <w:rPr>
          <w:lang w:val="en-US"/>
        </w:rPr>
        <w:t>seem to be</w:t>
      </w:r>
      <w:r w:rsidRPr="00E04F07">
        <w:rPr>
          <w:lang w:val="en-US"/>
        </w:rPr>
        <w:t xml:space="preserve">: </w:t>
      </w:r>
    </w:p>
    <w:p w:rsidR="00596909" w:rsidRDefault="00596909" w:rsidP="00E04F07">
      <w:pPr>
        <w:rPr>
          <w:lang w:val="en-US"/>
        </w:rPr>
      </w:pPr>
    </w:p>
    <w:tbl>
      <w:tblPr>
        <w:tblW w:w="4940" w:type="dxa"/>
        <w:tblInd w:w="55" w:type="dxa"/>
        <w:tblCellMar>
          <w:left w:w="70" w:type="dxa"/>
          <w:right w:w="70" w:type="dxa"/>
        </w:tblCellMar>
        <w:tblLook w:val="04A0" w:firstRow="1" w:lastRow="0" w:firstColumn="1" w:lastColumn="0" w:noHBand="0" w:noVBand="1"/>
      </w:tblPr>
      <w:tblGrid>
        <w:gridCol w:w="2060"/>
        <w:gridCol w:w="1461"/>
        <w:gridCol w:w="1168"/>
        <w:gridCol w:w="960"/>
      </w:tblGrid>
      <w:tr w:rsidR="00876944" w:rsidRPr="00876944" w:rsidTr="00876944">
        <w:trPr>
          <w:trHeight w:val="300"/>
        </w:trPr>
        <w:tc>
          <w:tcPr>
            <w:tcW w:w="2060" w:type="dxa"/>
            <w:tcBorders>
              <w:top w:val="single" w:sz="4" w:space="0" w:color="000000"/>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val="en-US" w:eastAsia="fr-FR"/>
              </w:rPr>
            </w:pPr>
          </w:p>
        </w:tc>
        <w:tc>
          <w:tcPr>
            <w:tcW w:w="960" w:type="dxa"/>
            <w:tcBorders>
              <w:top w:val="single" w:sz="4" w:space="0" w:color="000000"/>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 xml:space="preserve">Total </w:t>
            </w:r>
            <w:r>
              <w:rPr>
                <w:rFonts w:ascii="Calibri" w:eastAsia="Times New Roman" w:hAnsi="Calibri" w:cs="Calibri"/>
                <w:color w:val="000000"/>
                <w:lang w:eastAsia="fr-FR"/>
              </w:rPr>
              <w:t>« </w:t>
            </w:r>
            <w:proofErr w:type="spellStart"/>
            <w:r w:rsidRPr="00876944">
              <w:rPr>
                <w:rFonts w:ascii="Calibri" w:eastAsia="Times New Roman" w:hAnsi="Calibri" w:cs="Calibri"/>
                <w:color w:val="000000"/>
                <w:lang w:eastAsia="fr-FR"/>
              </w:rPr>
              <w:t>M</w:t>
            </w:r>
            <w:r>
              <w:rPr>
                <w:rFonts w:ascii="Calibri" w:eastAsia="Times New Roman" w:hAnsi="Calibri" w:cs="Calibri"/>
                <w:color w:val="000000"/>
                <w:lang w:eastAsia="fr-FR"/>
              </w:rPr>
              <w:t>andatory</w:t>
            </w:r>
            <w:proofErr w:type="spellEnd"/>
            <w:r>
              <w:rPr>
                <w:rFonts w:ascii="Calibri" w:eastAsia="Times New Roman" w:hAnsi="Calibri" w:cs="Calibri"/>
                <w:color w:val="000000"/>
                <w:lang w:eastAsia="fr-FR"/>
              </w:rPr>
              <w:t xml:space="preserve"> » </w:t>
            </w:r>
          </w:p>
        </w:tc>
        <w:tc>
          <w:tcPr>
            <w:tcW w:w="960" w:type="dxa"/>
            <w:tcBorders>
              <w:top w:val="single" w:sz="4" w:space="0" w:color="000000"/>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 xml:space="preserve">Total </w:t>
            </w:r>
            <w:r>
              <w:rPr>
                <w:rFonts w:ascii="Calibri" w:eastAsia="Times New Roman" w:hAnsi="Calibri" w:cs="Calibri"/>
                <w:color w:val="000000"/>
                <w:lang w:eastAsia="fr-FR"/>
              </w:rPr>
              <w:t>« </w:t>
            </w:r>
            <w:r w:rsidRPr="00876944">
              <w:rPr>
                <w:rFonts w:ascii="Calibri" w:eastAsia="Times New Roman" w:hAnsi="Calibri" w:cs="Calibri"/>
                <w:color w:val="000000"/>
                <w:lang w:val="en-US" w:eastAsia="fr-FR"/>
              </w:rPr>
              <w:t>Optional</w:t>
            </w:r>
            <w:r>
              <w:rPr>
                <w:rFonts w:ascii="Calibri" w:eastAsia="Times New Roman" w:hAnsi="Calibri" w:cs="Calibri"/>
                <w:color w:val="000000"/>
                <w:lang w:val="en-US" w:eastAsia="fr-FR"/>
              </w:rPr>
              <w:t>”</w:t>
            </w:r>
            <w:r>
              <w:rPr>
                <w:rFonts w:ascii="Calibri" w:eastAsia="Times New Roman" w:hAnsi="Calibri" w:cs="Calibri"/>
                <w:color w:val="000000"/>
                <w:lang w:eastAsia="fr-FR"/>
              </w:rPr>
              <w:t xml:space="preserve"> </w:t>
            </w:r>
          </w:p>
        </w:tc>
        <w:tc>
          <w:tcPr>
            <w:tcW w:w="960" w:type="dxa"/>
            <w:tcBorders>
              <w:top w:val="single" w:sz="4" w:space="0" w:color="000000"/>
              <w:left w:val="nil"/>
              <w:bottom w:val="nil"/>
              <w:right w:val="nil"/>
            </w:tcBorders>
            <w:shd w:val="clear" w:color="D9D9D9" w:fill="D9D9D9"/>
            <w:noWrap/>
            <w:vAlign w:val="bottom"/>
            <w:hideMark/>
          </w:tcPr>
          <w:p w:rsidR="00876944" w:rsidRPr="00876944" w:rsidRDefault="00596909" w:rsidP="00876944">
            <w:pPr>
              <w:spacing w:before="0"/>
              <w:rPr>
                <w:rFonts w:ascii="Calibri" w:eastAsia="Times New Roman" w:hAnsi="Calibri" w:cs="Calibri"/>
                <w:color w:val="000000"/>
                <w:lang w:eastAsia="fr-FR"/>
              </w:rPr>
            </w:pPr>
            <w:r>
              <w:rPr>
                <w:rFonts w:ascii="Calibri" w:eastAsia="Times New Roman" w:hAnsi="Calibri" w:cs="Calibri"/>
                <w:color w:val="000000"/>
                <w:lang w:eastAsia="fr-FR"/>
              </w:rPr>
              <w:t>TOTAL SCORE</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Identifier</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11</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0</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11</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Format</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8</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2</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10</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Language</w:t>
            </w:r>
            <w:proofErr w:type="spellEnd"/>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Subject</w:t>
            </w:r>
            <w:proofErr w:type="spellEnd"/>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Type</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Creator</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7</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2</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Title</w:t>
            </w:r>
            <w:proofErr w:type="spellEnd"/>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0</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9</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Description</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8</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Location</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8</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Adressee</w:t>
            </w:r>
            <w:proofErr w:type="spellEnd"/>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8</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 xml:space="preserve">Security &amp; </w:t>
            </w:r>
            <w:proofErr w:type="spellStart"/>
            <w:r w:rsidRPr="00876944">
              <w:rPr>
                <w:rFonts w:ascii="Calibri" w:eastAsia="Times New Roman" w:hAnsi="Calibri" w:cs="Calibri"/>
                <w:color w:val="000000"/>
                <w:lang w:eastAsia="fr-FR"/>
              </w:rPr>
              <w:t>access</w:t>
            </w:r>
            <w:proofErr w:type="spellEnd"/>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8</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 xml:space="preserve">Event </w:t>
            </w:r>
            <w:proofErr w:type="spellStart"/>
            <w:r w:rsidRPr="00876944">
              <w:rPr>
                <w:rFonts w:ascii="Calibri" w:eastAsia="Times New Roman" w:hAnsi="Calibri" w:cs="Calibri"/>
                <w:color w:val="000000"/>
                <w:lang w:eastAsia="fr-FR"/>
              </w:rPr>
              <w:t>history</w:t>
            </w:r>
            <w:proofErr w:type="spellEnd"/>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6</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Date &amp; time</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6</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0</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6</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r w:rsidRPr="00876944">
              <w:rPr>
                <w:rFonts w:ascii="Calibri" w:eastAsia="Times New Roman" w:hAnsi="Calibri" w:cs="Calibri"/>
                <w:color w:val="000000"/>
                <w:lang w:eastAsia="fr-FR"/>
              </w:rPr>
              <w:t>Relation</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2</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Disposal</w:t>
            </w:r>
            <w:proofErr w:type="spellEnd"/>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5</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Function</w:t>
            </w:r>
            <w:proofErr w:type="spellEnd"/>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r>
      <w:tr w:rsidR="00876944" w:rsidRPr="00876944" w:rsidTr="00876944">
        <w:trPr>
          <w:trHeight w:val="300"/>
        </w:trPr>
        <w:tc>
          <w:tcPr>
            <w:tcW w:w="2060" w:type="dxa"/>
            <w:tcBorders>
              <w:top w:val="nil"/>
              <w:left w:val="nil"/>
              <w:bottom w:val="nil"/>
              <w:right w:val="nil"/>
            </w:tcBorders>
            <w:shd w:val="clear" w:color="auto" w:fill="auto"/>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Preservation</w:t>
            </w:r>
            <w:proofErr w:type="spellEnd"/>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2</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2</w:t>
            </w:r>
          </w:p>
        </w:tc>
        <w:tc>
          <w:tcPr>
            <w:tcW w:w="960" w:type="dxa"/>
            <w:tcBorders>
              <w:top w:val="nil"/>
              <w:left w:val="nil"/>
              <w:bottom w:val="nil"/>
              <w:right w:val="nil"/>
            </w:tcBorders>
            <w:shd w:val="clear" w:color="auto" w:fill="auto"/>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r>
      <w:tr w:rsidR="00876944" w:rsidRPr="00876944" w:rsidTr="00876944">
        <w:trPr>
          <w:trHeight w:val="300"/>
        </w:trPr>
        <w:tc>
          <w:tcPr>
            <w:tcW w:w="2060" w:type="dxa"/>
            <w:tcBorders>
              <w:top w:val="nil"/>
              <w:left w:val="nil"/>
              <w:bottom w:val="nil"/>
              <w:right w:val="nil"/>
            </w:tcBorders>
            <w:shd w:val="clear" w:color="D9D9D9" w:fill="D9D9D9"/>
            <w:noWrap/>
            <w:vAlign w:val="bottom"/>
            <w:hideMark/>
          </w:tcPr>
          <w:p w:rsidR="00876944" w:rsidRPr="00876944" w:rsidRDefault="00876944" w:rsidP="00876944">
            <w:pPr>
              <w:spacing w:before="0"/>
              <w:rPr>
                <w:rFonts w:ascii="Calibri" w:eastAsia="Times New Roman" w:hAnsi="Calibri" w:cs="Calibri"/>
                <w:color w:val="000000"/>
                <w:lang w:eastAsia="fr-FR"/>
              </w:rPr>
            </w:pPr>
            <w:proofErr w:type="spellStart"/>
            <w:r w:rsidRPr="00876944">
              <w:rPr>
                <w:rFonts w:ascii="Calibri" w:eastAsia="Times New Roman" w:hAnsi="Calibri" w:cs="Calibri"/>
                <w:color w:val="000000"/>
                <w:lang w:eastAsia="fr-FR"/>
              </w:rPr>
              <w:t>Aggregation</w:t>
            </w:r>
            <w:proofErr w:type="spellEnd"/>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3</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1</w:t>
            </w:r>
          </w:p>
        </w:tc>
        <w:tc>
          <w:tcPr>
            <w:tcW w:w="960" w:type="dxa"/>
            <w:tcBorders>
              <w:top w:val="nil"/>
              <w:left w:val="nil"/>
              <w:bottom w:val="nil"/>
              <w:right w:val="nil"/>
            </w:tcBorders>
            <w:shd w:val="clear" w:color="D9D9D9" w:fill="D9D9D9"/>
            <w:noWrap/>
            <w:vAlign w:val="center"/>
            <w:hideMark/>
          </w:tcPr>
          <w:p w:rsidR="00876944" w:rsidRPr="00876944" w:rsidRDefault="00876944" w:rsidP="00876944">
            <w:pPr>
              <w:spacing w:before="0"/>
              <w:jc w:val="center"/>
              <w:rPr>
                <w:rFonts w:ascii="Calibri" w:eastAsia="Times New Roman" w:hAnsi="Calibri" w:cs="Calibri"/>
                <w:color w:val="000000"/>
                <w:lang w:eastAsia="fr-FR"/>
              </w:rPr>
            </w:pPr>
            <w:r w:rsidRPr="00876944">
              <w:rPr>
                <w:rFonts w:ascii="Calibri" w:eastAsia="Times New Roman" w:hAnsi="Calibri" w:cs="Calibri"/>
                <w:color w:val="000000"/>
                <w:lang w:eastAsia="fr-FR"/>
              </w:rPr>
              <w:t>4</w:t>
            </w:r>
          </w:p>
        </w:tc>
      </w:tr>
    </w:tbl>
    <w:p w:rsidR="00E04F07" w:rsidRPr="00E04F07" w:rsidRDefault="00E04F07" w:rsidP="00E04F07">
      <w:pPr>
        <w:rPr>
          <w:lang w:val="en-US"/>
        </w:rPr>
      </w:pPr>
    </w:p>
    <w:p w:rsidR="008D2DA1" w:rsidRPr="008A20A7" w:rsidRDefault="00951A51" w:rsidP="008D2DA1">
      <w:pPr>
        <w:rPr>
          <w:lang w:val="en-US"/>
        </w:rPr>
      </w:pPr>
      <w:r>
        <w:rPr>
          <w:lang w:val="en-US"/>
        </w:rPr>
        <w:t>(</w:t>
      </w:r>
      <w:proofErr w:type="gramStart"/>
      <w:r w:rsidR="009D1CC1" w:rsidRPr="00E04F07">
        <w:rPr>
          <w:lang w:val="en-US"/>
        </w:rPr>
        <w:t>in</w:t>
      </w:r>
      <w:proofErr w:type="gramEnd"/>
      <w:r w:rsidR="009D1CC1" w:rsidRPr="00E04F07">
        <w:rPr>
          <w:lang w:val="en-US"/>
        </w:rPr>
        <w:t xml:space="preserve"> progress, as in </w:t>
      </w:r>
      <w:r w:rsidR="00876944">
        <w:rPr>
          <w:lang w:val="en-US"/>
        </w:rPr>
        <w:t>April 2016</w:t>
      </w:r>
      <w:r w:rsidR="009D1CC1">
        <w:rPr>
          <w:lang w:val="en-US"/>
        </w:rPr>
        <w:t xml:space="preserve">. </w:t>
      </w:r>
      <w:proofErr w:type="gramStart"/>
      <w:r w:rsidR="00876944">
        <w:rPr>
          <w:lang w:val="en-US"/>
        </w:rPr>
        <w:t>P</w:t>
      </w:r>
      <w:r w:rsidR="00E04F07" w:rsidRPr="00E04F07">
        <w:rPr>
          <w:lang w:val="en-US"/>
        </w:rPr>
        <w:t>rovisory list, to be confirmed and completed</w:t>
      </w:r>
      <w:r>
        <w:rPr>
          <w:lang w:val="en-US"/>
        </w:rPr>
        <w:t>)</w:t>
      </w:r>
      <w:r w:rsidR="00937C86">
        <w:rPr>
          <w:lang w:val="en-US"/>
        </w:rPr>
        <w:t>.</w:t>
      </w:r>
      <w:proofErr w:type="gramEnd"/>
      <w:r w:rsidR="00937C86">
        <w:rPr>
          <w:lang w:val="en-US"/>
        </w:rPr>
        <w:t xml:space="preserve"> </w:t>
      </w:r>
      <w:r w:rsidR="008D2DA1">
        <w:rPr>
          <w:lang w:val="en-US"/>
        </w:rPr>
        <w:t xml:space="preserve">We </w:t>
      </w:r>
      <w:r w:rsidR="00876944">
        <w:rPr>
          <w:lang w:val="en-US"/>
        </w:rPr>
        <w:t xml:space="preserve">are still working </w:t>
      </w:r>
      <w:proofErr w:type="gramStart"/>
      <w:r w:rsidR="00876944">
        <w:rPr>
          <w:lang w:val="en-US"/>
        </w:rPr>
        <w:t xml:space="preserve">further </w:t>
      </w:r>
      <w:r w:rsidR="008D2DA1">
        <w:rPr>
          <w:lang w:val="en-US"/>
        </w:rPr>
        <w:t xml:space="preserve"> on</w:t>
      </w:r>
      <w:proofErr w:type="gramEnd"/>
      <w:r w:rsidR="008D2DA1">
        <w:rPr>
          <w:lang w:val="en-US"/>
        </w:rPr>
        <w:t xml:space="preserve"> sub-elements</w:t>
      </w:r>
      <w:r w:rsidR="00E04F07" w:rsidRPr="00E04F07">
        <w:rPr>
          <w:lang w:val="en-US"/>
        </w:rPr>
        <w:t xml:space="preserve"> </w:t>
      </w:r>
      <w:r w:rsidR="008D2DA1" w:rsidRPr="008A20A7">
        <w:rPr>
          <w:lang w:val="en-US"/>
        </w:rPr>
        <w:t>because all schemes categorize and group the "sub elements" differently</w:t>
      </w:r>
      <w:r w:rsidR="008D2DA1">
        <w:rPr>
          <w:lang w:val="en-US"/>
        </w:rPr>
        <w:t>, so the comparison is quite difficult.</w:t>
      </w:r>
      <w:r w:rsidR="00596909">
        <w:rPr>
          <w:lang w:val="en-US"/>
        </w:rPr>
        <w:t xml:space="preserve"> Definitions of </w:t>
      </w:r>
      <w:proofErr w:type="spellStart"/>
      <w:r w:rsidR="00596909">
        <w:rPr>
          <w:lang w:val="en-US"/>
        </w:rPr>
        <w:t>medata</w:t>
      </w:r>
      <w:proofErr w:type="spellEnd"/>
      <w:r w:rsidR="00596909">
        <w:rPr>
          <w:lang w:val="en-US"/>
        </w:rPr>
        <w:t xml:space="preserve"> </w:t>
      </w:r>
      <w:proofErr w:type="gramStart"/>
      <w:r w:rsidR="00596909">
        <w:rPr>
          <w:lang w:val="en-US"/>
        </w:rPr>
        <w:t>elements :</w:t>
      </w:r>
      <w:proofErr w:type="gramEnd"/>
      <w:r w:rsidR="00596909">
        <w:rPr>
          <w:lang w:val="en-US"/>
        </w:rPr>
        <w:t xml:space="preserve"> see annex </w:t>
      </w:r>
    </w:p>
    <w:p w:rsidR="00E04F07" w:rsidRPr="00E04F07" w:rsidRDefault="00E04F07" w:rsidP="00E04F07">
      <w:pPr>
        <w:rPr>
          <w:lang w:val="en-US"/>
        </w:rPr>
      </w:pPr>
    </w:p>
    <w:p w:rsidR="005E2526" w:rsidRPr="00E04F07" w:rsidRDefault="005E2526" w:rsidP="005E2526">
      <w:pPr>
        <w:rPr>
          <w:lang w:val="en-US"/>
        </w:rPr>
      </w:pPr>
    </w:p>
    <w:p w:rsidR="005E2526" w:rsidRDefault="009D1CC1" w:rsidP="005E2526">
      <w:pPr>
        <w:rPr>
          <w:lang w:val="en-US"/>
        </w:rPr>
      </w:pPr>
      <w:r>
        <w:rPr>
          <w:lang w:val="en-US"/>
        </w:rPr>
        <w:t>The public</w:t>
      </w:r>
      <w:r w:rsidR="005E2526" w:rsidRPr="00E04F07">
        <w:rPr>
          <w:lang w:val="en-US"/>
        </w:rPr>
        <w:t xml:space="preserve"> sets </w:t>
      </w:r>
      <w:r>
        <w:rPr>
          <w:lang w:val="en-US"/>
        </w:rPr>
        <w:t xml:space="preserve">are </w:t>
      </w:r>
      <w:r w:rsidRPr="00E04F07">
        <w:rPr>
          <w:lang w:val="en-US"/>
        </w:rPr>
        <w:t xml:space="preserve">available </w:t>
      </w:r>
      <w:r w:rsidR="005E2526" w:rsidRPr="00E04F07">
        <w:rPr>
          <w:lang w:val="en-US"/>
        </w:rPr>
        <w:t xml:space="preserve">at the following </w:t>
      </w:r>
      <w:proofErr w:type="gramStart"/>
      <w:r w:rsidR="005E2526" w:rsidRPr="00E04F07">
        <w:rPr>
          <w:lang w:val="en-US"/>
        </w:rPr>
        <w:t>links :</w:t>
      </w:r>
      <w:proofErr w:type="gramEnd"/>
      <w:r w:rsidR="005E2526">
        <w:rPr>
          <w:lang w:val="en-US"/>
        </w:rPr>
        <w:t xml:space="preserve"> </w:t>
      </w:r>
    </w:p>
    <w:p w:rsidR="005E2526" w:rsidRPr="00E04F07" w:rsidRDefault="00E04F07" w:rsidP="00E04F07">
      <w:pPr>
        <w:pStyle w:val="Paragraphedeliste"/>
        <w:numPr>
          <w:ilvl w:val="0"/>
          <w:numId w:val="1"/>
        </w:numPr>
        <w:jc w:val="both"/>
      </w:pPr>
      <w:r>
        <w:t xml:space="preserve">UN : </w:t>
      </w:r>
      <w:r w:rsidRPr="00E04F07">
        <w:t>https://archives.un.org/sites/archives.un.org/files/files/Standards/ARMS_Standard_Recordkeeping_Metadata_Final.pdf</w:t>
      </w:r>
    </w:p>
    <w:p w:rsidR="005E2526" w:rsidRDefault="00E04F07" w:rsidP="005E2526">
      <w:pPr>
        <w:pStyle w:val="Paragraphedeliste"/>
        <w:numPr>
          <w:ilvl w:val="0"/>
          <w:numId w:val="1"/>
        </w:numPr>
      </w:pPr>
      <w:proofErr w:type="gramStart"/>
      <w:r>
        <w:t xml:space="preserve">EC </w:t>
      </w:r>
      <w:r w:rsidR="005E2526">
        <w:t> :</w:t>
      </w:r>
      <w:proofErr w:type="gramEnd"/>
      <w:r w:rsidR="005E2526">
        <w:t xml:space="preserve"> </w:t>
      </w:r>
      <w:hyperlink r:id="rId8" w:history="1">
        <w:r w:rsidR="005E2526">
          <w:rPr>
            <w:rStyle w:val="Lienhypertexte"/>
          </w:rPr>
          <w:t>« Modalités d’application de la décision 2002/47/CE, CECA, Euratom concernant l’administration des documents et de la décisio</w:t>
        </w:r>
        <w:r w:rsidR="005E2526">
          <w:rPr>
            <w:rStyle w:val="Lienhypertexte"/>
          </w:rPr>
          <w:t>n</w:t>
        </w:r>
        <w:r w:rsidR="005E2526">
          <w:rPr>
            <w:rStyle w:val="Lienhypertexte"/>
          </w:rPr>
          <w:t xml:space="preserve"> 2004/563/CE, Euratom concernant les documents électroniques et numérisés" , SEC (2009) 1643 du 30 novembre 2009. point IV.1</w:t>
        </w:r>
      </w:hyperlink>
    </w:p>
    <w:p w:rsidR="005E2526" w:rsidRDefault="00695AE8" w:rsidP="00E04F07">
      <w:pPr>
        <w:pStyle w:val="Paragraphedeliste"/>
        <w:numPr>
          <w:ilvl w:val="0"/>
          <w:numId w:val="1"/>
        </w:numPr>
      </w:pPr>
      <w:hyperlink r:id="rId9" w:history="1">
        <w:r w:rsidR="005E2526">
          <w:rPr>
            <w:rStyle w:val="Lienhypertexte"/>
          </w:rPr>
          <w:t>Australie RKMS</w:t>
        </w:r>
      </w:hyperlink>
      <w:r w:rsidR="00E04F07">
        <w:t xml:space="preserve"> </w:t>
      </w:r>
      <w:r w:rsidR="00E04F07" w:rsidRPr="00E04F07">
        <w:t>http://www.naa.gov.au/records-management/publications/agrkms/index.aspx</w:t>
      </w:r>
    </w:p>
    <w:p w:rsidR="005E2526" w:rsidRPr="00E04F07" w:rsidRDefault="00695AE8" w:rsidP="00E04F07">
      <w:pPr>
        <w:pStyle w:val="Paragraphedeliste"/>
        <w:numPr>
          <w:ilvl w:val="0"/>
          <w:numId w:val="1"/>
        </w:numPr>
        <w:rPr>
          <w:lang w:val="en-US"/>
        </w:rPr>
      </w:pPr>
      <w:hyperlink r:id="rId10" w:history="1">
        <w:r w:rsidR="005E2526" w:rsidRPr="00E04F07">
          <w:rPr>
            <w:rStyle w:val="Lienhypertexte"/>
            <w:lang w:val="en-US"/>
          </w:rPr>
          <w:t>Great Britain 2006</w:t>
        </w:r>
      </w:hyperlink>
      <w:r w:rsidR="00E04F07" w:rsidRPr="00E04F07">
        <w:rPr>
          <w:lang w:val="en-US"/>
        </w:rPr>
        <w:t xml:space="preserve"> http://www.nationalarchives.gov.uk/documents/information-management/egms-metadata-standard.pdf 2006</w:t>
      </w:r>
    </w:p>
    <w:p w:rsidR="00E04F07" w:rsidRPr="008D2DA1" w:rsidRDefault="00695AE8" w:rsidP="008D2DA1">
      <w:pPr>
        <w:pStyle w:val="Paragraphedeliste"/>
        <w:numPr>
          <w:ilvl w:val="0"/>
          <w:numId w:val="1"/>
        </w:numPr>
        <w:rPr>
          <w:lang w:val="en-US"/>
        </w:rPr>
      </w:pPr>
      <w:hyperlink r:id="rId11" w:history="1">
        <w:r w:rsidR="005E2526" w:rsidRPr="00E04F07">
          <w:rPr>
            <w:rStyle w:val="Lienhypertexte"/>
            <w:lang w:val="en-US"/>
          </w:rPr>
          <w:t>Canada Federal Governement</w:t>
        </w:r>
      </w:hyperlink>
      <w:r w:rsidR="00E04F07" w:rsidRPr="00E04F07">
        <w:rPr>
          <w:lang w:val="en-US"/>
        </w:rPr>
        <w:t xml:space="preserve"> </w:t>
      </w:r>
      <w:r w:rsidR="008D2DA1" w:rsidRPr="008D2DA1">
        <w:rPr>
          <w:lang w:val="en-US"/>
        </w:rPr>
        <w:t xml:space="preserve">Government of Canada Records Management Metadata Standard </w:t>
      </w:r>
      <w:hyperlink r:id="rId12" w:history="1">
        <w:r w:rsidR="00E04F07" w:rsidRPr="00AA64CA">
          <w:rPr>
            <w:rStyle w:val="Lienhypertexte"/>
            <w:lang w:val="en-US"/>
          </w:rPr>
          <w:t>http://www.collectionscanada.gc.ca/government/002/007002-5001-e.html</w:t>
        </w:r>
      </w:hyperlink>
    </w:p>
    <w:p w:rsidR="00D266A0" w:rsidRDefault="00695AE8" w:rsidP="00937C86">
      <w:pPr>
        <w:pStyle w:val="Paragraphedeliste"/>
        <w:numPr>
          <w:ilvl w:val="0"/>
          <w:numId w:val="1"/>
        </w:numPr>
        <w:rPr>
          <w:lang w:val="en-US"/>
        </w:rPr>
      </w:pPr>
      <w:hyperlink r:id="rId13" w:history="1">
        <w:r w:rsidR="005E2526" w:rsidRPr="00E04F07">
          <w:rPr>
            <w:rStyle w:val="Lienhypertexte"/>
            <w:lang w:val="en-US"/>
          </w:rPr>
          <w:t>Quebec Governement</w:t>
        </w:r>
      </w:hyperlink>
      <w:r w:rsidR="00937C86">
        <w:rPr>
          <w:lang w:val="en-US"/>
        </w:rPr>
        <w:t xml:space="preserve"> </w:t>
      </w:r>
      <w:hyperlink r:id="rId14" w:history="1">
        <w:r w:rsidR="00876944" w:rsidRPr="0044056A">
          <w:rPr>
            <w:rStyle w:val="Lienhypertexte"/>
            <w:lang w:val="en-US"/>
          </w:rPr>
          <w:t>http://www.banq.qc.ca/documents/services/archivistique_ged/Profils_metadonnees_gouvernementaux_Dos_Doc_version2_0_avril2009_VF.pdf</w:t>
        </w:r>
      </w:hyperlink>
    </w:p>
    <w:p w:rsidR="00876944" w:rsidRDefault="00876944" w:rsidP="00876944">
      <w:pPr>
        <w:rPr>
          <w:lang w:val="en-US"/>
        </w:rPr>
      </w:pPr>
    </w:p>
    <w:p w:rsidR="00596909" w:rsidRDefault="00596909">
      <w:pPr>
        <w:rPr>
          <w:lang w:val="en-US"/>
        </w:rPr>
      </w:pPr>
      <w:r>
        <w:rPr>
          <w:lang w:val="en-US"/>
        </w:rPr>
        <w:br w:type="page"/>
      </w:r>
    </w:p>
    <w:p w:rsidR="00876944" w:rsidRDefault="00876944" w:rsidP="00876944">
      <w:pPr>
        <w:rPr>
          <w:lang w:val="en-US"/>
        </w:rPr>
      </w:pPr>
    </w:p>
    <w:p w:rsidR="00876944" w:rsidRPr="00596909" w:rsidRDefault="00876944" w:rsidP="00876944">
      <w:pPr>
        <w:rPr>
          <w:lang w:val="en-US"/>
        </w:rPr>
      </w:pPr>
      <w:proofErr w:type="gramStart"/>
      <w:r>
        <w:rPr>
          <w:lang w:val="en-US"/>
        </w:rPr>
        <w:t>Annex :</w:t>
      </w:r>
      <w:proofErr w:type="gramEnd"/>
      <w:r>
        <w:rPr>
          <w:lang w:val="en-US"/>
        </w:rPr>
        <w:t xml:space="preserve"> list and definitions of the </w:t>
      </w:r>
      <w:r w:rsidR="004E43F7">
        <w:rPr>
          <w:lang w:val="en-US"/>
        </w:rPr>
        <w:t>most common MD (</w:t>
      </w:r>
      <w:r w:rsidR="00596909">
        <w:rPr>
          <w:lang w:val="en-US"/>
        </w:rPr>
        <w:t xml:space="preserve">from UN </w:t>
      </w:r>
      <w:r w:rsidR="00596909" w:rsidRPr="00596909">
        <w:rPr>
          <w:lang w:val="en-US"/>
        </w:rPr>
        <w:t>ARMS</w:t>
      </w:r>
      <w:r w:rsidR="00596909">
        <w:rPr>
          <w:lang w:val="en-US"/>
        </w:rPr>
        <w:t xml:space="preserve"> </w:t>
      </w:r>
      <w:r w:rsidR="00596909" w:rsidRPr="00596909">
        <w:rPr>
          <w:lang w:val="en-US"/>
        </w:rPr>
        <w:t>Standard</w:t>
      </w:r>
      <w:r w:rsidR="00596909">
        <w:rPr>
          <w:lang w:val="en-US"/>
        </w:rPr>
        <w:t xml:space="preserve"> </w:t>
      </w:r>
      <w:r w:rsidR="00596909" w:rsidRPr="00596909">
        <w:rPr>
          <w:lang w:val="en-US"/>
        </w:rPr>
        <w:t>Recordkeeping</w:t>
      </w:r>
      <w:r w:rsidR="00596909">
        <w:rPr>
          <w:lang w:val="en-US"/>
        </w:rPr>
        <w:t xml:space="preserve"> </w:t>
      </w:r>
      <w:r w:rsidR="00596909" w:rsidRPr="00596909">
        <w:rPr>
          <w:lang w:val="en-US"/>
        </w:rPr>
        <w:t>Metadata</w:t>
      </w:r>
      <w:r w:rsidR="00596909">
        <w:rPr>
          <w:lang w:val="en-US"/>
        </w:rPr>
        <w:t>)</w:t>
      </w:r>
    </w:p>
    <w:p w:rsidR="004E43F7" w:rsidRDefault="004E43F7" w:rsidP="00876944">
      <w:pPr>
        <w:rPr>
          <w:lang w:val="en-US"/>
        </w:rPr>
      </w:pPr>
    </w:p>
    <w:tbl>
      <w:tblPr>
        <w:tblW w:w="9102" w:type="dxa"/>
        <w:tblInd w:w="55" w:type="dxa"/>
        <w:tblCellMar>
          <w:left w:w="70" w:type="dxa"/>
          <w:right w:w="70" w:type="dxa"/>
        </w:tblCellMar>
        <w:tblLook w:val="04A0" w:firstRow="1" w:lastRow="0" w:firstColumn="1" w:lastColumn="0" w:noHBand="0" w:noVBand="1"/>
      </w:tblPr>
      <w:tblGrid>
        <w:gridCol w:w="3536"/>
        <w:gridCol w:w="5566"/>
      </w:tblGrid>
      <w:tr w:rsidR="004E43F7" w:rsidRPr="004E43F7" w:rsidTr="00596909">
        <w:trPr>
          <w:trHeight w:val="893"/>
        </w:trPr>
        <w:tc>
          <w:tcPr>
            <w:tcW w:w="3536" w:type="dxa"/>
            <w:tcBorders>
              <w:top w:val="single" w:sz="4" w:space="0" w:color="auto"/>
              <w:left w:val="single" w:sz="4" w:space="0" w:color="auto"/>
              <w:bottom w:val="single" w:sz="4" w:space="0" w:color="auto"/>
              <w:right w:val="single" w:sz="4" w:space="0" w:color="auto"/>
            </w:tcBorders>
            <w:shd w:val="clear" w:color="auto" w:fill="auto"/>
            <w:hideMark/>
          </w:tcPr>
          <w:p w:rsidR="004E43F7" w:rsidRPr="004E43F7" w:rsidRDefault="004E43F7" w:rsidP="004E43F7">
            <w:pPr>
              <w:spacing w:before="0"/>
              <w:rPr>
                <w:rFonts w:ascii="Arial" w:eastAsia="Times New Roman" w:hAnsi="Arial" w:cs="Arial"/>
                <w:b/>
                <w:bCs/>
                <w:sz w:val="24"/>
                <w:szCs w:val="24"/>
                <w:lang w:eastAsia="fr-FR"/>
              </w:rPr>
            </w:pPr>
            <w:proofErr w:type="gramStart"/>
            <w:r>
              <w:rPr>
                <w:rFonts w:ascii="Arial" w:eastAsia="Times New Roman" w:hAnsi="Arial" w:cs="Arial"/>
                <w:b/>
                <w:bCs/>
                <w:sz w:val="24"/>
                <w:szCs w:val="24"/>
                <w:lang w:eastAsia="fr-FR"/>
              </w:rPr>
              <w:t>1.Identifier</w:t>
            </w:r>
            <w:proofErr w:type="gramEnd"/>
            <w:r>
              <w:rPr>
                <w:rFonts w:ascii="Arial" w:eastAsia="Times New Roman" w:hAnsi="Arial" w:cs="Arial"/>
                <w:b/>
                <w:bCs/>
                <w:sz w:val="24"/>
                <w:szCs w:val="24"/>
                <w:lang w:eastAsia="fr-FR"/>
              </w:rPr>
              <w:t xml:space="preserve"> </w:t>
            </w:r>
          </w:p>
        </w:tc>
        <w:tc>
          <w:tcPr>
            <w:tcW w:w="5566" w:type="dxa"/>
            <w:tcBorders>
              <w:top w:val="single" w:sz="4" w:space="0" w:color="auto"/>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Unique identifier for an object, either on the file plan or within the system, be it an individual record (declared document) or an aggregation of records</w:t>
            </w:r>
          </w:p>
        </w:tc>
      </w:tr>
      <w:tr w:rsidR="004E43F7" w:rsidRPr="004E43F7" w:rsidTr="00596909">
        <w:trPr>
          <w:trHeight w:val="410"/>
        </w:trPr>
        <w:tc>
          <w:tcPr>
            <w:tcW w:w="3536" w:type="dxa"/>
            <w:tcBorders>
              <w:top w:val="nil"/>
              <w:left w:val="single" w:sz="4" w:space="0" w:color="auto"/>
              <w:bottom w:val="single" w:sz="4" w:space="0" w:color="auto"/>
              <w:right w:val="single" w:sz="4" w:space="0" w:color="auto"/>
            </w:tcBorders>
            <w:shd w:val="clear" w:color="auto" w:fill="auto"/>
            <w:hideMark/>
          </w:tcPr>
          <w:p w:rsidR="004E43F7" w:rsidRPr="004E43F7" w:rsidRDefault="004E43F7" w:rsidP="004E43F7">
            <w:pPr>
              <w:spacing w:before="0"/>
              <w:rPr>
                <w:rFonts w:ascii="Arial" w:eastAsia="Times New Roman" w:hAnsi="Arial" w:cs="Arial"/>
                <w:b/>
                <w:bCs/>
                <w:sz w:val="24"/>
                <w:szCs w:val="24"/>
                <w:lang w:eastAsia="fr-FR"/>
              </w:rPr>
            </w:pPr>
            <w:proofErr w:type="gramStart"/>
            <w:r w:rsidRPr="004E43F7">
              <w:rPr>
                <w:rFonts w:ascii="Arial" w:eastAsia="Times New Roman" w:hAnsi="Arial" w:cs="Arial"/>
                <w:b/>
                <w:bCs/>
                <w:sz w:val="24"/>
                <w:szCs w:val="24"/>
                <w:lang w:eastAsia="fr-FR"/>
              </w:rPr>
              <w:t>2.Title</w:t>
            </w:r>
            <w:proofErr w:type="gramEnd"/>
            <w:r w:rsidRPr="004E43F7">
              <w:rPr>
                <w:rFonts w:ascii="Arial" w:eastAsia="Times New Roman" w:hAnsi="Arial" w:cs="Arial"/>
                <w:b/>
                <w:bCs/>
                <w:sz w:val="24"/>
                <w:szCs w:val="24"/>
                <w:lang w:eastAsia="fr-FR"/>
              </w:rPr>
              <w:t xml:space="preserve"> </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title given to the record, folder or class</w:t>
            </w:r>
          </w:p>
        </w:tc>
      </w:tr>
      <w:tr w:rsidR="004E43F7" w:rsidRPr="004E43F7" w:rsidTr="00596909">
        <w:trPr>
          <w:trHeight w:val="557"/>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proofErr w:type="gramStart"/>
            <w:r w:rsidRPr="004E43F7">
              <w:rPr>
                <w:rFonts w:ascii="Arial" w:eastAsia="Times New Roman" w:hAnsi="Arial" w:cs="Arial"/>
                <w:b/>
                <w:bCs/>
                <w:sz w:val="24"/>
                <w:szCs w:val="24"/>
                <w:lang w:eastAsia="fr-FR"/>
              </w:rPr>
              <w:t>3.Subject</w:t>
            </w:r>
            <w:proofErr w:type="gramEnd"/>
            <w:r w:rsidRPr="004E43F7">
              <w:rPr>
                <w:rFonts w:ascii="Arial" w:eastAsia="Times New Roman" w:hAnsi="Arial" w:cs="Arial"/>
                <w:b/>
                <w:bCs/>
                <w:sz w:val="24"/>
                <w:szCs w:val="24"/>
                <w:lang w:eastAsia="fr-FR"/>
              </w:rPr>
              <w:t xml:space="preserve"> (content) </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Keywords or phrases describing the subject content of the resource</w:t>
            </w:r>
          </w:p>
        </w:tc>
      </w:tr>
      <w:tr w:rsidR="004E43F7" w:rsidRPr="004E43F7" w:rsidTr="00596909">
        <w:trPr>
          <w:trHeight w:val="423"/>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proofErr w:type="gramStart"/>
            <w:r w:rsidRPr="004E43F7">
              <w:rPr>
                <w:rFonts w:ascii="Arial" w:eastAsia="Times New Roman" w:hAnsi="Arial" w:cs="Arial"/>
                <w:b/>
                <w:bCs/>
                <w:sz w:val="24"/>
                <w:szCs w:val="24"/>
                <w:lang w:eastAsia="fr-FR"/>
              </w:rPr>
              <w:t>4.Description</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Free text description of the resource</w:t>
            </w:r>
          </w:p>
        </w:tc>
      </w:tr>
      <w:tr w:rsidR="004E43F7" w:rsidRPr="004E43F7" w:rsidTr="00596909">
        <w:trPr>
          <w:trHeight w:val="699"/>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proofErr w:type="gramStart"/>
            <w:r w:rsidRPr="004E43F7">
              <w:rPr>
                <w:rFonts w:ascii="Arial" w:eastAsia="Times New Roman" w:hAnsi="Arial" w:cs="Arial"/>
                <w:b/>
                <w:bCs/>
                <w:sz w:val="24"/>
                <w:szCs w:val="24"/>
                <w:lang w:eastAsia="fr-FR"/>
              </w:rPr>
              <w:t>5.Creator</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person responsible for the content of the resource up to the point of declaration as a record</w:t>
            </w:r>
          </w:p>
        </w:tc>
      </w:tr>
      <w:tr w:rsidR="004E43F7" w:rsidRPr="004E43F7" w:rsidTr="00596909">
        <w:trPr>
          <w:trHeight w:val="699"/>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proofErr w:type="gramStart"/>
            <w:r w:rsidRPr="004E43F7">
              <w:rPr>
                <w:rFonts w:ascii="Arial" w:eastAsia="Times New Roman" w:hAnsi="Arial" w:cs="Arial"/>
                <w:b/>
                <w:bCs/>
                <w:sz w:val="24"/>
                <w:szCs w:val="24"/>
                <w:lang w:eastAsia="fr-FR"/>
              </w:rPr>
              <w:t>6.Date</w:t>
            </w:r>
            <w:proofErr w:type="gramEnd"/>
            <w:r w:rsidRPr="004E43F7">
              <w:rPr>
                <w:rFonts w:ascii="Arial" w:eastAsia="Times New Roman" w:hAnsi="Arial" w:cs="Arial"/>
                <w:b/>
                <w:bCs/>
                <w:sz w:val="24"/>
                <w:szCs w:val="24"/>
                <w:lang w:eastAsia="fr-FR"/>
              </w:rPr>
              <w:t xml:space="preserve"> (and time)</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Date (and time) an important lifecycle event occurred to a resource excluding disposal events which are sub-elements</w:t>
            </w:r>
          </w:p>
        </w:tc>
      </w:tr>
      <w:tr w:rsidR="004E43F7" w:rsidRPr="004E43F7" w:rsidTr="00596909">
        <w:trPr>
          <w:trHeight w:val="388"/>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lang w:eastAsia="fr-FR"/>
              </w:rPr>
            </w:pPr>
            <w:proofErr w:type="gramStart"/>
            <w:r w:rsidRPr="004E43F7">
              <w:rPr>
                <w:rFonts w:ascii="Arial" w:eastAsia="Times New Roman" w:hAnsi="Arial" w:cs="Arial"/>
                <w:b/>
                <w:bCs/>
                <w:lang w:eastAsia="fr-FR"/>
              </w:rPr>
              <w:t>7.Adressee</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person(s) to whom the record was addressed</w:t>
            </w:r>
          </w:p>
        </w:tc>
      </w:tr>
      <w:tr w:rsidR="004E43F7" w:rsidRPr="004E43F7" w:rsidTr="00596909">
        <w:trPr>
          <w:trHeight w:val="975"/>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lang w:eastAsia="fr-FR"/>
              </w:rPr>
            </w:pPr>
            <w:proofErr w:type="gramStart"/>
            <w:r w:rsidRPr="004E43F7">
              <w:rPr>
                <w:rFonts w:ascii="Arial" w:eastAsia="Times New Roman" w:hAnsi="Arial" w:cs="Arial"/>
                <w:b/>
                <w:bCs/>
                <w:lang w:eastAsia="fr-FR"/>
              </w:rPr>
              <w:t>8.Type</w:t>
            </w:r>
            <w:proofErr w:type="gramEnd"/>
            <w:r w:rsidRPr="004E43F7">
              <w:rPr>
                <w:rFonts w:ascii="Arial" w:eastAsia="Times New Roman" w:hAnsi="Arial" w:cs="Arial"/>
                <w:b/>
                <w:bCs/>
                <w:lang w:eastAsia="fr-FR"/>
              </w:rPr>
              <w:t xml:space="preserve"> (type de document, typologie) </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recognized form a record takes, which governs its internal structure and relates to its transactional purpose or to the action or activity it documents</w:t>
            </w:r>
          </w:p>
        </w:tc>
      </w:tr>
      <w:tr w:rsidR="004E43F7" w:rsidRPr="004E43F7" w:rsidTr="00596909">
        <w:trPr>
          <w:trHeight w:val="1117"/>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lang w:eastAsia="fr-FR"/>
              </w:rPr>
            </w:pPr>
            <w:proofErr w:type="gramStart"/>
            <w:r w:rsidRPr="004E43F7">
              <w:rPr>
                <w:rFonts w:ascii="Arial" w:eastAsia="Times New Roman" w:hAnsi="Arial" w:cs="Arial"/>
                <w:b/>
                <w:bCs/>
                <w:lang w:eastAsia="fr-FR"/>
              </w:rPr>
              <w:t>9.Relation</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Identifies instances where a record has a direct relationship with that of another (content or a direct business process relationship) or clarifies how a record at one level of aggregation relates to other levels</w:t>
            </w:r>
          </w:p>
        </w:tc>
      </w:tr>
      <w:tr w:rsidR="004E43F7" w:rsidRPr="004E43F7" w:rsidTr="00596909">
        <w:trPr>
          <w:trHeight w:val="458"/>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10</w:t>
            </w:r>
            <w:proofErr w:type="gramStart"/>
            <w:r w:rsidRPr="004E43F7">
              <w:rPr>
                <w:rFonts w:ascii="Arial" w:eastAsia="Times New Roman" w:hAnsi="Arial" w:cs="Arial"/>
                <w:b/>
                <w:bCs/>
                <w:sz w:val="24"/>
                <w:szCs w:val="24"/>
                <w:lang w:eastAsia="fr-FR"/>
              </w:rPr>
              <w:t>.Function</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business function(s) which are documented by the record</w:t>
            </w:r>
          </w:p>
        </w:tc>
      </w:tr>
      <w:tr w:rsidR="004E43F7" w:rsidRPr="004E43F7" w:rsidTr="00596909">
        <w:trPr>
          <w:trHeight w:val="933"/>
        </w:trPr>
        <w:tc>
          <w:tcPr>
            <w:tcW w:w="3536" w:type="dxa"/>
            <w:tcBorders>
              <w:top w:val="nil"/>
              <w:left w:val="single" w:sz="4" w:space="0" w:color="auto"/>
              <w:bottom w:val="single" w:sz="4" w:space="0" w:color="auto"/>
              <w:right w:val="single" w:sz="4" w:space="0" w:color="auto"/>
            </w:tcBorders>
            <w:shd w:val="clear" w:color="auto" w:fill="auto"/>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11</w:t>
            </w:r>
            <w:proofErr w:type="gramStart"/>
            <w:r w:rsidRPr="004E43F7">
              <w:rPr>
                <w:rFonts w:ascii="Arial" w:eastAsia="Times New Roman" w:hAnsi="Arial" w:cs="Arial"/>
                <w:b/>
                <w:bCs/>
                <w:sz w:val="24"/>
                <w:szCs w:val="24"/>
                <w:lang w:eastAsia="fr-FR"/>
              </w:rPr>
              <w:t>.Aggregation</w:t>
            </w:r>
            <w:proofErr w:type="gramEnd"/>
            <w:r w:rsidRPr="004E43F7">
              <w:rPr>
                <w:rFonts w:ascii="Arial" w:eastAsia="Times New Roman" w:hAnsi="Arial" w:cs="Arial"/>
                <w:b/>
                <w:bCs/>
                <w:sz w:val="24"/>
                <w:szCs w:val="24"/>
                <w:lang w:eastAsia="fr-FR"/>
              </w:rPr>
              <w:t xml:space="preserve"> (niveau d'agrégation : pièce, dossier…) </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unit of measurement used to define where in the information hierarchy any records managemen</w:t>
            </w:r>
            <w:r w:rsidR="00596909">
              <w:rPr>
                <w:rFonts w:ascii="Calibri" w:eastAsia="Times New Roman" w:hAnsi="Calibri" w:cs="Calibri"/>
                <w:color w:val="000000"/>
                <w:lang w:val="en-US" w:eastAsia="fr-FR"/>
              </w:rPr>
              <w:t xml:space="preserve">t action is carried </w:t>
            </w:r>
            <w:proofErr w:type="gramStart"/>
            <w:r w:rsidR="00596909">
              <w:rPr>
                <w:rFonts w:ascii="Calibri" w:eastAsia="Times New Roman" w:hAnsi="Calibri" w:cs="Calibri"/>
                <w:color w:val="000000"/>
                <w:lang w:val="en-US" w:eastAsia="fr-FR"/>
              </w:rPr>
              <w:t>out :</w:t>
            </w:r>
            <w:proofErr w:type="gramEnd"/>
            <w:r w:rsidR="00596909">
              <w:rPr>
                <w:rFonts w:ascii="Calibri" w:eastAsia="Times New Roman" w:hAnsi="Calibri" w:cs="Calibri"/>
                <w:color w:val="000000"/>
                <w:lang w:val="en-US" w:eastAsia="fr-FR"/>
              </w:rPr>
              <w:t xml:space="preserve"> singl</w:t>
            </w:r>
            <w:r w:rsidRPr="004E43F7">
              <w:rPr>
                <w:rFonts w:ascii="Calibri" w:eastAsia="Times New Roman" w:hAnsi="Calibri" w:cs="Calibri"/>
                <w:color w:val="000000"/>
                <w:lang w:val="en-US" w:eastAsia="fr-FR"/>
              </w:rPr>
              <w:t>e document, folder…</w:t>
            </w:r>
          </w:p>
        </w:tc>
      </w:tr>
      <w:tr w:rsidR="004E43F7" w:rsidRPr="004E43F7" w:rsidTr="00596909">
        <w:trPr>
          <w:trHeight w:val="900"/>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12</w:t>
            </w:r>
            <w:proofErr w:type="gramStart"/>
            <w:r w:rsidRPr="004E43F7">
              <w:rPr>
                <w:rFonts w:ascii="Arial" w:eastAsia="Times New Roman" w:hAnsi="Arial" w:cs="Arial"/>
                <w:b/>
                <w:bCs/>
                <w:sz w:val="24"/>
                <w:szCs w:val="24"/>
                <w:lang w:eastAsia="fr-FR"/>
              </w:rPr>
              <w:t>.Language</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language of the intellectual content of the record or resource</w:t>
            </w:r>
          </w:p>
        </w:tc>
      </w:tr>
      <w:tr w:rsidR="004E43F7" w:rsidRPr="004E43F7" w:rsidTr="00596909">
        <w:trPr>
          <w:trHeight w:val="315"/>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13</w:t>
            </w:r>
            <w:proofErr w:type="gramStart"/>
            <w:r w:rsidRPr="004E43F7">
              <w:rPr>
                <w:rFonts w:ascii="Arial" w:eastAsia="Times New Roman" w:hAnsi="Arial" w:cs="Arial"/>
                <w:b/>
                <w:bCs/>
                <w:sz w:val="24"/>
                <w:szCs w:val="24"/>
                <w:lang w:eastAsia="fr-FR"/>
              </w:rPr>
              <w:t>.Location</w:t>
            </w:r>
            <w:proofErr w:type="gramEnd"/>
          </w:p>
        </w:tc>
        <w:tc>
          <w:tcPr>
            <w:tcW w:w="5566" w:type="dxa"/>
            <w:tcBorders>
              <w:top w:val="nil"/>
              <w:left w:val="nil"/>
              <w:bottom w:val="single" w:sz="4" w:space="0" w:color="auto"/>
              <w:right w:val="single" w:sz="4" w:space="0" w:color="auto"/>
            </w:tcBorders>
            <w:shd w:val="clear" w:color="auto" w:fill="auto"/>
            <w:noWrap/>
            <w:hideMark/>
          </w:tcPr>
          <w:p w:rsidR="004E43F7" w:rsidRPr="004E43F7" w:rsidRDefault="004E43F7" w:rsidP="004E43F7">
            <w:pPr>
              <w:spacing w:before="0"/>
              <w:rPr>
                <w:rFonts w:ascii="Calibri" w:eastAsia="Times New Roman" w:hAnsi="Calibri" w:cs="Calibri"/>
                <w:color w:val="000000"/>
                <w:lang w:eastAsia="fr-FR"/>
              </w:rPr>
            </w:pPr>
            <w:r w:rsidRPr="004E43F7">
              <w:rPr>
                <w:rFonts w:ascii="Calibri" w:eastAsia="Times New Roman" w:hAnsi="Calibri" w:cs="Calibri"/>
                <w:color w:val="000000"/>
                <w:lang w:eastAsia="fr-FR"/>
              </w:rPr>
              <w:t>Physical location</w:t>
            </w:r>
          </w:p>
        </w:tc>
      </w:tr>
      <w:tr w:rsidR="004E43F7" w:rsidRPr="004E43F7" w:rsidTr="00596909">
        <w:trPr>
          <w:trHeight w:val="679"/>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14</w:t>
            </w:r>
            <w:proofErr w:type="gramStart"/>
            <w:r w:rsidRPr="004E43F7">
              <w:rPr>
                <w:rFonts w:ascii="Arial" w:eastAsia="Times New Roman" w:hAnsi="Arial" w:cs="Arial"/>
                <w:b/>
                <w:bCs/>
                <w:sz w:val="24"/>
                <w:szCs w:val="24"/>
                <w:lang w:eastAsia="fr-FR"/>
              </w:rPr>
              <w:t>.Security</w:t>
            </w:r>
            <w:proofErr w:type="gramEnd"/>
            <w:r w:rsidRPr="004E43F7">
              <w:rPr>
                <w:rFonts w:ascii="Arial" w:eastAsia="Times New Roman" w:hAnsi="Arial" w:cs="Arial"/>
                <w:b/>
                <w:bCs/>
                <w:sz w:val="24"/>
                <w:szCs w:val="24"/>
                <w:lang w:eastAsia="fr-FR"/>
              </w:rPr>
              <w:t xml:space="preserve"> and </w:t>
            </w:r>
            <w:proofErr w:type="spellStart"/>
            <w:r w:rsidRPr="004E43F7">
              <w:rPr>
                <w:rFonts w:ascii="Arial" w:eastAsia="Times New Roman" w:hAnsi="Arial" w:cs="Arial"/>
                <w:b/>
                <w:bCs/>
                <w:sz w:val="24"/>
                <w:szCs w:val="24"/>
                <w:lang w:eastAsia="fr-FR"/>
              </w:rPr>
              <w:t>access</w:t>
            </w:r>
            <w:proofErr w:type="spell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Security classification restrictions and permissions placed on access to UN records held in ERK systems</w:t>
            </w:r>
          </w:p>
        </w:tc>
      </w:tr>
      <w:tr w:rsidR="004E43F7" w:rsidRPr="004E43F7" w:rsidTr="00596909">
        <w:trPr>
          <w:trHeight w:val="679"/>
        </w:trPr>
        <w:tc>
          <w:tcPr>
            <w:tcW w:w="3536" w:type="dxa"/>
            <w:tcBorders>
              <w:top w:val="nil"/>
              <w:left w:val="single" w:sz="4" w:space="0" w:color="auto"/>
              <w:bottom w:val="single" w:sz="4" w:space="0" w:color="auto"/>
              <w:right w:val="single" w:sz="4" w:space="0" w:color="auto"/>
            </w:tcBorders>
            <w:shd w:val="clear" w:color="auto" w:fill="auto"/>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15</w:t>
            </w:r>
            <w:proofErr w:type="gramStart"/>
            <w:r w:rsidRPr="004E43F7">
              <w:rPr>
                <w:rFonts w:ascii="Arial" w:eastAsia="Times New Roman" w:hAnsi="Arial" w:cs="Arial"/>
                <w:b/>
                <w:bCs/>
                <w:sz w:val="24"/>
                <w:szCs w:val="24"/>
                <w:lang w:eastAsia="fr-FR"/>
              </w:rPr>
              <w:t>.Disposal</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What happens to the records at the end of their lifecycle (can also be referred to as a record’s sentence or retention)</w:t>
            </w:r>
          </w:p>
        </w:tc>
      </w:tr>
      <w:tr w:rsidR="004E43F7" w:rsidRPr="004E43F7" w:rsidTr="00596909">
        <w:trPr>
          <w:trHeight w:val="560"/>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16</w:t>
            </w:r>
            <w:proofErr w:type="gramStart"/>
            <w:r w:rsidRPr="004E43F7">
              <w:rPr>
                <w:rFonts w:ascii="Arial" w:eastAsia="Times New Roman" w:hAnsi="Arial" w:cs="Arial"/>
                <w:b/>
                <w:bCs/>
                <w:sz w:val="24"/>
                <w:szCs w:val="24"/>
                <w:lang w:eastAsia="fr-FR"/>
              </w:rPr>
              <w:t>.Format</w:t>
            </w:r>
            <w:proofErr w:type="gramEnd"/>
            <w:r w:rsidRPr="004E43F7">
              <w:rPr>
                <w:rFonts w:ascii="Arial" w:eastAsia="Times New Roman" w:hAnsi="Arial" w:cs="Arial"/>
                <w:b/>
                <w:bCs/>
                <w:sz w:val="24"/>
                <w:szCs w:val="24"/>
                <w:lang w:eastAsia="fr-FR"/>
              </w:rPr>
              <w:t>/Media</w:t>
            </w:r>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format of the record or what media the information is contained in</w:t>
            </w:r>
          </w:p>
        </w:tc>
      </w:tr>
      <w:tr w:rsidR="004E43F7" w:rsidRPr="004E43F7" w:rsidTr="00596909">
        <w:trPr>
          <w:trHeight w:val="1404"/>
        </w:trPr>
        <w:tc>
          <w:tcPr>
            <w:tcW w:w="3536" w:type="dxa"/>
            <w:tcBorders>
              <w:top w:val="nil"/>
              <w:left w:val="single" w:sz="4" w:space="0" w:color="auto"/>
              <w:bottom w:val="single" w:sz="4" w:space="0" w:color="auto"/>
              <w:right w:val="single" w:sz="4" w:space="0" w:color="auto"/>
            </w:tcBorders>
            <w:shd w:val="clear" w:color="auto" w:fill="auto"/>
            <w:noWrap/>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lastRenderedPageBreak/>
              <w:t>17</w:t>
            </w:r>
            <w:proofErr w:type="gramStart"/>
            <w:r w:rsidRPr="004E43F7">
              <w:rPr>
                <w:rFonts w:ascii="Arial" w:eastAsia="Times New Roman" w:hAnsi="Arial" w:cs="Arial"/>
                <w:b/>
                <w:bCs/>
                <w:sz w:val="24"/>
                <w:szCs w:val="24"/>
                <w:lang w:eastAsia="fr-FR"/>
              </w:rPr>
              <w:t>.Preservation</w:t>
            </w:r>
            <w:proofErr w:type="gramEnd"/>
          </w:p>
        </w:tc>
        <w:tc>
          <w:tcPr>
            <w:tcW w:w="5566" w:type="dxa"/>
            <w:tcBorders>
              <w:top w:val="nil"/>
              <w:left w:val="nil"/>
              <w:bottom w:val="single" w:sz="4" w:space="0" w:color="auto"/>
              <w:right w:val="single" w:sz="4" w:space="0" w:color="auto"/>
            </w:tcBorders>
            <w:shd w:val="clear" w:color="auto" w:fill="auto"/>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Information on the object description, migration, sustainability and preservation management processes that have been employed during the life of the record and its component(s), to facilitate its survival across technical platforms</w:t>
            </w:r>
          </w:p>
        </w:tc>
      </w:tr>
      <w:tr w:rsidR="004E43F7" w:rsidRPr="004E43F7" w:rsidTr="00596909">
        <w:trPr>
          <w:trHeight w:val="375"/>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18. Event </w:t>
            </w:r>
            <w:proofErr w:type="spellStart"/>
            <w:r w:rsidRPr="004E43F7">
              <w:rPr>
                <w:rFonts w:ascii="Arial" w:eastAsia="Times New Roman" w:hAnsi="Arial" w:cs="Arial"/>
                <w:b/>
                <w:bCs/>
                <w:sz w:val="24"/>
                <w:szCs w:val="24"/>
                <w:lang w:eastAsia="fr-FR"/>
              </w:rPr>
              <w:t>history</w:t>
            </w:r>
            <w:proofErr w:type="spell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w:t>
            </w:r>
          </w:p>
        </w:tc>
      </w:tr>
      <w:tr w:rsidR="004E43F7" w:rsidRPr="004E43F7" w:rsidTr="00596909">
        <w:trPr>
          <w:trHeight w:val="593"/>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19. </w:t>
            </w:r>
            <w:proofErr w:type="spellStart"/>
            <w:r w:rsidRPr="004E43F7">
              <w:rPr>
                <w:rFonts w:ascii="Arial" w:eastAsia="Times New Roman" w:hAnsi="Arial" w:cs="Arial"/>
                <w:b/>
                <w:bCs/>
                <w:sz w:val="24"/>
                <w:szCs w:val="24"/>
                <w:lang w:eastAsia="fr-FR"/>
              </w:rPr>
              <w:t>Accessibility</w:t>
            </w:r>
            <w:proofErr w:type="spell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xml:space="preserve">Indicates the </w:t>
            </w:r>
            <w:proofErr w:type="spellStart"/>
            <w:r w:rsidRPr="004E43F7">
              <w:rPr>
                <w:rFonts w:ascii="Calibri" w:eastAsia="Times New Roman" w:hAnsi="Calibri" w:cs="Calibri"/>
                <w:color w:val="000000"/>
                <w:lang w:val="en-US" w:eastAsia="fr-FR"/>
              </w:rPr>
              <w:t>resource‟s</w:t>
            </w:r>
            <w:proofErr w:type="spellEnd"/>
            <w:r w:rsidRPr="004E43F7">
              <w:rPr>
                <w:rFonts w:ascii="Calibri" w:eastAsia="Times New Roman" w:hAnsi="Calibri" w:cs="Calibri"/>
                <w:color w:val="000000"/>
                <w:lang w:val="en-US" w:eastAsia="fr-FR"/>
              </w:rPr>
              <w:t xml:space="preserve"> availability and usability to specific groups.</w:t>
            </w:r>
          </w:p>
        </w:tc>
      </w:tr>
      <w:tr w:rsidR="004E43F7" w:rsidRPr="004E43F7" w:rsidTr="00596909">
        <w:trPr>
          <w:trHeight w:val="380"/>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20. Publisher </w:t>
            </w:r>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An entity responsible for making the resource available.</w:t>
            </w:r>
          </w:p>
        </w:tc>
      </w:tr>
      <w:tr w:rsidR="004E43F7" w:rsidRPr="004E43F7" w:rsidTr="00596909">
        <w:trPr>
          <w:trHeight w:val="591"/>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21 Source</w:t>
            </w:r>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A reference to a resource from which the present resource is derived.</w:t>
            </w:r>
          </w:p>
        </w:tc>
      </w:tr>
      <w:tr w:rsidR="004E43F7" w:rsidRPr="004E43F7" w:rsidTr="00596909">
        <w:trPr>
          <w:trHeight w:val="857"/>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22</w:t>
            </w:r>
            <w:proofErr w:type="gramStart"/>
            <w:r w:rsidRPr="004E43F7">
              <w:rPr>
                <w:rFonts w:ascii="Arial" w:eastAsia="Times New Roman" w:hAnsi="Arial" w:cs="Arial"/>
                <w:b/>
                <w:bCs/>
                <w:sz w:val="24"/>
                <w:szCs w:val="24"/>
                <w:lang w:eastAsia="fr-FR"/>
              </w:rPr>
              <w:t>.Digital</w:t>
            </w:r>
            <w:proofErr w:type="gramEnd"/>
            <w:r w:rsidRPr="004E43F7">
              <w:rPr>
                <w:rFonts w:ascii="Arial" w:eastAsia="Times New Roman" w:hAnsi="Arial" w:cs="Arial"/>
                <w:b/>
                <w:bCs/>
                <w:sz w:val="24"/>
                <w:szCs w:val="24"/>
                <w:lang w:eastAsia="fr-FR"/>
              </w:rPr>
              <w:t xml:space="preserve"> signature</w:t>
            </w:r>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Authentication information used for the verification of resources in</w:t>
            </w:r>
            <w:r w:rsidRPr="004E43F7">
              <w:rPr>
                <w:rFonts w:ascii="Calibri" w:eastAsia="Times New Roman" w:hAnsi="Calibri" w:cs="Calibri"/>
                <w:color w:val="000000"/>
                <w:lang w:val="en-US" w:eastAsia="fr-FR"/>
              </w:rPr>
              <w:br/>
              <w:t>transactions.</w:t>
            </w:r>
          </w:p>
        </w:tc>
      </w:tr>
      <w:tr w:rsidR="004E43F7" w:rsidRPr="004E43F7" w:rsidTr="00596909">
        <w:trPr>
          <w:trHeight w:val="317"/>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24. </w:t>
            </w:r>
            <w:proofErr w:type="spellStart"/>
            <w:r w:rsidRPr="004E43F7">
              <w:rPr>
                <w:rFonts w:ascii="Arial" w:eastAsia="Times New Roman" w:hAnsi="Arial" w:cs="Arial"/>
                <w:b/>
                <w:bCs/>
                <w:sz w:val="24"/>
                <w:szCs w:val="24"/>
                <w:lang w:eastAsia="fr-FR"/>
              </w:rPr>
              <w:t>Coverage</w:t>
            </w:r>
            <w:proofErr w:type="spellEnd"/>
            <w:r w:rsidRPr="004E43F7">
              <w:rPr>
                <w:rFonts w:ascii="Arial" w:eastAsia="Times New Roman" w:hAnsi="Arial" w:cs="Arial"/>
                <w:b/>
                <w:bCs/>
                <w:sz w:val="24"/>
                <w:szCs w:val="24"/>
                <w:lang w:eastAsia="fr-FR"/>
              </w:rPr>
              <w:t xml:space="preserve"> </w:t>
            </w:r>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extent or scope of the content of the resource.</w:t>
            </w:r>
          </w:p>
        </w:tc>
      </w:tr>
      <w:tr w:rsidR="004E43F7" w:rsidRPr="004E43F7" w:rsidTr="00596909">
        <w:trPr>
          <w:trHeight w:val="682"/>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25</w:t>
            </w:r>
            <w:proofErr w:type="gramStart"/>
            <w:r w:rsidRPr="004E43F7">
              <w:rPr>
                <w:rFonts w:ascii="Arial" w:eastAsia="Times New Roman" w:hAnsi="Arial" w:cs="Arial"/>
                <w:b/>
                <w:bCs/>
                <w:sz w:val="24"/>
                <w:szCs w:val="24"/>
                <w:lang w:eastAsia="fr-FR"/>
              </w:rPr>
              <w:t>.Mandate</w:t>
            </w:r>
            <w:proofErr w:type="gram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Legislative or other mandate under which the resource was produced.</w:t>
            </w:r>
          </w:p>
        </w:tc>
      </w:tr>
      <w:tr w:rsidR="004E43F7" w:rsidRPr="004E43F7" w:rsidTr="00596909">
        <w:trPr>
          <w:trHeight w:val="375"/>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26</w:t>
            </w:r>
            <w:proofErr w:type="gramStart"/>
            <w:r w:rsidRPr="004E43F7">
              <w:rPr>
                <w:rFonts w:ascii="Arial" w:eastAsia="Times New Roman" w:hAnsi="Arial" w:cs="Arial"/>
                <w:b/>
                <w:bCs/>
                <w:sz w:val="24"/>
                <w:szCs w:val="24"/>
                <w:lang w:eastAsia="fr-FR"/>
              </w:rPr>
              <w:t>.Jurisdiction</w:t>
            </w:r>
            <w:proofErr w:type="gramEnd"/>
          </w:p>
        </w:tc>
        <w:tc>
          <w:tcPr>
            <w:tcW w:w="5566" w:type="dxa"/>
            <w:tcBorders>
              <w:top w:val="nil"/>
              <w:left w:val="nil"/>
              <w:bottom w:val="single" w:sz="4" w:space="0" w:color="auto"/>
              <w:right w:val="single" w:sz="4" w:space="0" w:color="auto"/>
            </w:tcBorders>
            <w:shd w:val="clear" w:color="auto" w:fill="auto"/>
            <w:noWrap/>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w:t>
            </w:r>
          </w:p>
        </w:tc>
      </w:tr>
      <w:tr w:rsidR="004E43F7" w:rsidRPr="004E43F7" w:rsidTr="00596909">
        <w:trPr>
          <w:trHeight w:val="375"/>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27</w:t>
            </w:r>
            <w:proofErr w:type="gramStart"/>
            <w:r w:rsidRPr="004E43F7">
              <w:rPr>
                <w:rFonts w:ascii="Arial" w:eastAsia="Times New Roman" w:hAnsi="Arial" w:cs="Arial"/>
                <w:b/>
                <w:bCs/>
                <w:sz w:val="24"/>
                <w:szCs w:val="24"/>
                <w:lang w:eastAsia="fr-FR"/>
              </w:rPr>
              <w:t>.Extent</w:t>
            </w:r>
            <w:proofErr w:type="gramEnd"/>
          </w:p>
        </w:tc>
        <w:tc>
          <w:tcPr>
            <w:tcW w:w="5566" w:type="dxa"/>
            <w:tcBorders>
              <w:top w:val="nil"/>
              <w:left w:val="nil"/>
              <w:bottom w:val="single" w:sz="4" w:space="0" w:color="auto"/>
              <w:right w:val="single" w:sz="4" w:space="0" w:color="auto"/>
            </w:tcBorders>
            <w:shd w:val="clear" w:color="auto" w:fill="auto"/>
            <w:noWrap/>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w:t>
            </w:r>
          </w:p>
        </w:tc>
      </w:tr>
      <w:tr w:rsidR="004E43F7" w:rsidRPr="004E43F7" w:rsidTr="00596909">
        <w:trPr>
          <w:trHeight w:val="550"/>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28</w:t>
            </w:r>
            <w:proofErr w:type="gramStart"/>
            <w:r w:rsidRPr="004E43F7">
              <w:rPr>
                <w:rFonts w:ascii="Arial" w:eastAsia="Times New Roman" w:hAnsi="Arial" w:cs="Arial"/>
                <w:b/>
                <w:bCs/>
                <w:sz w:val="24"/>
                <w:szCs w:val="24"/>
                <w:lang w:eastAsia="fr-FR"/>
              </w:rPr>
              <w:t>.Medium</w:t>
            </w:r>
            <w:proofErr w:type="gram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The physical ‘carrier’ on which a digital record is stored. For physical records, the material of the record.</w:t>
            </w:r>
          </w:p>
        </w:tc>
      </w:tr>
      <w:tr w:rsidR="004E43F7" w:rsidRPr="004E43F7" w:rsidTr="00596909">
        <w:trPr>
          <w:trHeight w:val="879"/>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29</w:t>
            </w:r>
            <w:proofErr w:type="gramStart"/>
            <w:r w:rsidRPr="004E43F7">
              <w:rPr>
                <w:rFonts w:ascii="Arial" w:eastAsia="Times New Roman" w:hAnsi="Arial" w:cs="Arial"/>
                <w:b/>
                <w:bCs/>
                <w:sz w:val="24"/>
                <w:szCs w:val="24"/>
                <w:lang w:eastAsia="fr-FR"/>
              </w:rPr>
              <w:t>.Integrity</w:t>
            </w:r>
            <w:proofErr w:type="gramEnd"/>
            <w:r w:rsidRPr="004E43F7">
              <w:rPr>
                <w:rFonts w:ascii="Arial" w:eastAsia="Times New Roman" w:hAnsi="Arial" w:cs="Arial"/>
                <w:b/>
                <w:bCs/>
                <w:sz w:val="24"/>
                <w:szCs w:val="24"/>
                <w:lang w:eastAsia="fr-FR"/>
              </w:rPr>
              <w:t xml:space="preserve"> check</w:t>
            </w:r>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xml:space="preserve">A method for determining whether the bits that make up a digital record have been changed in the course of transmission or storage. </w:t>
            </w:r>
            <w:proofErr w:type="spellStart"/>
            <w:r w:rsidRPr="004E43F7">
              <w:rPr>
                <w:rFonts w:ascii="Calibri" w:eastAsia="Times New Roman" w:hAnsi="Calibri" w:cs="Calibri"/>
                <w:color w:val="000000"/>
                <w:lang w:val="en-US" w:eastAsia="fr-FR"/>
              </w:rPr>
              <w:t>Sometimes</w:t>
            </w:r>
            <w:proofErr w:type="spellEnd"/>
            <w:r w:rsidRPr="004E43F7">
              <w:rPr>
                <w:rFonts w:ascii="Calibri" w:eastAsia="Times New Roman" w:hAnsi="Calibri" w:cs="Calibri"/>
                <w:color w:val="000000"/>
                <w:lang w:val="en-US" w:eastAsia="fr-FR"/>
              </w:rPr>
              <w:t xml:space="preserve"> </w:t>
            </w:r>
            <w:proofErr w:type="spellStart"/>
            <w:r w:rsidRPr="004E43F7">
              <w:rPr>
                <w:rFonts w:ascii="Calibri" w:eastAsia="Times New Roman" w:hAnsi="Calibri" w:cs="Calibri"/>
                <w:color w:val="000000"/>
                <w:lang w:val="en-US" w:eastAsia="fr-FR"/>
              </w:rPr>
              <w:t>referred</w:t>
            </w:r>
            <w:proofErr w:type="spellEnd"/>
            <w:r w:rsidRPr="004E43F7">
              <w:rPr>
                <w:rFonts w:ascii="Calibri" w:eastAsia="Times New Roman" w:hAnsi="Calibri" w:cs="Calibri"/>
                <w:color w:val="000000"/>
                <w:lang w:val="en-US" w:eastAsia="fr-FR"/>
              </w:rPr>
              <w:t xml:space="preserve"> to as ‘</w:t>
            </w:r>
            <w:proofErr w:type="spellStart"/>
            <w:r w:rsidRPr="004E43F7">
              <w:rPr>
                <w:rFonts w:ascii="Calibri" w:eastAsia="Times New Roman" w:hAnsi="Calibri" w:cs="Calibri"/>
                <w:color w:val="000000"/>
                <w:lang w:val="en-US" w:eastAsia="fr-FR"/>
              </w:rPr>
              <w:t>fixity</w:t>
            </w:r>
            <w:proofErr w:type="spellEnd"/>
            <w:r w:rsidRPr="004E43F7">
              <w:rPr>
                <w:rFonts w:ascii="Calibri" w:eastAsia="Times New Roman" w:hAnsi="Calibri" w:cs="Calibri"/>
                <w:color w:val="000000"/>
                <w:lang w:val="en-US" w:eastAsia="fr-FR"/>
              </w:rPr>
              <w:t>’.</w:t>
            </w:r>
          </w:p>
        </w:tc>
      </w:tr>
      <w:tr w:rsidR="004E43F7" w:rsidRPr="004E43F7" w:rsidTr="00596909">
        <w:trPr>
          <w:trHeight w:val="1094"/>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30. Document </w:t>
            </w:r>
            <w:proofErr w:type="spellStart"/>
            <w:r w:rsidRPr="004E43F7">
              <w:rPr>
                <w:rFonts w:ascii="Arial" w:eastAsia="Times New Roman" w:hAnsi="Arial" w:cs="Arial"/>
                <w:b/>
                <w:bCs/>
                <w:sz w:val="24"/>
                <w:szCs w:val="24"/>
                <w:lang w:eastAsia="fr-FR"/>
              </w:rPr>
              <w:t>form</w:t>
            </w:r>
            <w:proofErr w:type="spell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 xml:space="preserve">Information about the </w:t>
            </w:r>
            <w:proofErr w:type="spellStart"/>
            <w:r w:rsidRPr="004E43F7">
              <w:rPr>
                <w:rFonts w:ascii="Calibri" w:eastAsia="Times New Roman" w:hAnsi="Calibri" w:cs="Calibri"/>
                <w:color w:val="000000"/>
                <w:lang w:val="en-US" w:eastAsia="fr-FR"/>
              </w:rPr>
              <w:t>recognised</w:t>
            </w:r>
            <w:proofErr w:type="spellEnd"/>
            <w:r w:rsidRPr="004E43F7">
              <w:rPr>
                <w:rFonts w:ascii="Calibri" w:eastAsia="Times New Roman" w:hAnsi="Calibri" w:cs="Calibri"/>
                <w:color w:val="000000"/>
                <w:lang w:val="en-US" w:eastAsia="fr-FR"/>
              </w:rPr>
              <w:t xml:space="preserve"> form the record takes, which governs its internal structure and relates to its transactional purpose. Document form can relate to the activity that a record documents.</w:t>
            </w:r>
          </w:p>
        </w:tc>
      </w:tr>
      <w:tr w:rsidR="004E43F7" w:rsidRPr="004E43F7" w:rsidTr="00596909">
        <w:trPr>
          <w:trHeight w:val="685"/>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 xml:space="preserve">31. </w:t>
            </w:r>
            <w:proofErr w:type="spellStart"/>
            <w:r w:rsidRPr="004E43F7">
              <w:rPr>
                <w:rFonts w:ascii="Arial" w:eastAsia="Times New Roman" w:hAnsi="Arial" w:cs="Arial"/>
                <w:b/>
                <w:bCs/>
                <w:sz w:val="24"/>
                <w:szCs w:val="24"/>
                <w:lang w:eastAsia="fr-FR"/>
              </w:rPr>
              <w:t>Precedence</w:t>
            </w:r>
            <w:proofErr w:type="spell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A mechanism by which the current time sensitiveness of a record can be flagged.</w:t>
            </w:r>
          </w:p>
        </w:tc>
      </w:tr>
      <w:tr w:rsidR="004E43F7" w:rsidRPr="004E43F7" w:rsidTr="00596909">
        <w:trPr>
          <w:trHeight w:val="411"/>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32</w:t>
            </w:r>
            <w:proofErr w:type="gramStart"/>
            <w:r w:rsidRPr="004E43F7">
              <w:rPr>
                <w:rFonts w:ascii="Arial" w:eastAsia="Times New Roman" w:hAnsi="Arial" w:cs="Arial"/>
                <w:b/>
                <w:bCs/>
                <w:sz w:val="24"/>
                <w:szCs w:val="24"/>
                <w:lang w:eastAsia="fr-FR"/>
              </w:rPr>
              <w:t>.Dissemination</w:t>
            </w:r>
            <w:proofErr w:type="gramEnd"/>
            <w:r w:rsidRPr="004E43F7">
              <w:rPr>
                <w:rFonts w:ascii="Arial" w:eastAsia="Times New Roman" w:hAnsi="Arial" w:cs="Arial"/>
                <w:b/>
                <w:bCs/>
                <w:sz w:val="24"/>
                <w:szCs w:val="24"/>
                <w:lang w:eastAsia="fr-FR"/>
              </w:rPr>
              <w:t xml:space="preserve"> </w:t>
            </w:r>
            <w:proofErr w:type="spellStart"/>
            <w:r w:rsidRPr="004E43F7">
              <w:rPr>
                <w:rFonts w:ascii="Arial" w:eastAsia="Times New Roman" w:hAnsi="Arial" w:cs="Arial"/>
                <w:b/>
                <w:bCs/>
                <w:sz w:val="24"/>
                <w:szCs w:val="24"/>
                <w:lang w:eastAsia="fr-FR"/>
              </w:rPr>
              <w:t>Limiting</w:t>
            </w:r>
            <w:proofErr w:type="spellEnd"/>
            <w:r w:rsidRPr="004E43F7">
              <w:rPr>
                <w:rFonts w:ascii="Arial" w:eastAsia="Times New Roman" w:hAnsi="Arial" w:cs="Arial"/>
                <w:b/>
                <w:bCs/>
                <w:sz w:val="24"/>
                <w:szCs w:val="24"/>
                <w:lang w:eastAsia="fr-FR"/>
              </w:rPr>
              <w:t xml:space="preserve"> Markers (</w:t>
            </w:r>
            <w:proofErr w:type="spellStart"/>
            <w:r w:rsidRPr="004E43F7">
              <w:rPr>
                <w:rFonts w:ascii="Arial" w:eastAsia="Times New Roman" w:hAnsi="Arial" w:cs="Arial"/>
                <w:b/>
                <w:bCs/>
                <w:sz w:val="24"/>
                <w:szCs w:val="24"/>
                <w:lang w:eastAsia="fr-FR"/>
              </w:rPr>
              <w:t>DLMs</w:t>
            </w:r>
            <w:proofErr w:type="spellEnd"/>
            <w:r w:rsidRPr="004E43F7">
              <w:rPr>
                <w:rFonts w:ascii="Arial" w:eastAsia="Times New Roman" w:hAnsi="Arial" w:cs="Arial"/>
                <w:b/>
                <w:bCs/>
                <w:sz w:val="24"/>
                <w:szCs w:val="24"/>
                <w:lang w:eastAsia="fr-FR"/>
              </w:rPr>
              <w:t>)</w:t>
            </w:r>
          </w:p>
        </w:tc>
        <w:tc>
          <w:tcPr>
            <w:tcW w:w="5566" w:type="dxa"/>
            <w:tcBorders>
              <w:top w:val="nil"/>
              <w:left w:val="nil"/>
              <w:bottom w:val="single" w:sz="4" w:space="0" w:color="auto"/>
              <w:right w:val="single" w:sz="4" w:space="0" w:color="auto"/>
            </w:tcBorders>
            <w:shd w:val="clear" w:color="auto" w:fill="auto"/>
            <w:noWrap/>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A label that denotes the sensitivity of a record, mandate or business.</w:t>
            </w:r>
          </w:p>
        </w:tc>
      </w:tr>
      <w:tr w:rsidR="004E43F7" w:rsidRPr="004E43F7" w:rsidTr="00596909">
        <w:trPr>
          <w:trHeight w:val="293"/>
        </w:trPr>
        <w:tc>
          <w:tcPr>
            <w:tcW w:w="3536" w:type="dxa"/>
            <w:tcBorders>
              <w:top w:val="nil"/>
              <w:left w:val="single" w:sz="4" w:space="0" w:color="auto"/>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Arial" w:eastAsia="Times New Roman" w:hAnsi="Arial" w:cs="Arial"/>
                <w:b/>
                <w:bCs/>
                <w:sz w:val="24"/>
                <w:szCs w:val="24"/>
                <w:lang w:eastAsia="fr-FR"/>
              </w:rPr>
            </w:pPr>
            <w:r w:rsidRPr="004E43F7">
              <w:rPr>
                <w:rFonts w:ascii="Arial" w:eastAsia="Times New Roman" w:hAnsi="Arial" w:cs="Arial"/>
                <w:b/>
                <w:bCs/>
                <w:sz w:val="24"/>
                <w:szCs w:val="24"/>
                <w:lang w:eastAsia="fr-FR"/>
              </w:rPr>
              <w:t>33</w:t>
            </w:r>
            <w:proofErr w:type="gramStart"/>
            <w:r w:rsidRPr="004E43F7">
              <w:rPr>
                <w:rFonts w:ascii="Arial" w:eastAsia="Times New Roman" w:hAnsi="Arial" w:cs="Arial"/>
                <w:b/>
                <w:bCs/>
                <w:sz w:val="24"/>
                <w:szCs w:val="24"/>
                <w:lang w:eastAsia="fr-FR"/>
              </w:rPr>
              <w:t>.Contact</w:t>
            </w:r>
            <w:proofErr w:type="gramEnd"/>
          </w:p>
        </w:tc>
        <w:tc>
          <w:tcPr>
            <w:tcW w:w="5566" w:type="dxa"/>
            <w:tcBorders>
              <w:top w:val="nil"/>
              <w:left w:val="nil"/>
              <w:bottom w:val="single" w:sz="4" w:space="0" w:color="auto"/>
              <w:right w:val="single" w:sz="4" w:space="0" w:color="auto"/>
            </w:tcBorders>
            <w:shd w:val="clear" w:color="auto" w:fill="auto"/>
            <w:vAlign w:val="bottom"/>
            <w:hideMark/>
          </w:tcPr>
          <w:p w:rsidR="004E43F7" w:rsidRPr="004E43F7" w:rsidRDefault="004E43F7" w:rsidP="004E43F7">
            <w:pPr>
              <w:spacing w:before="0"/>
              <w:rPr>
                <w:rFonts w:ascii="Calibri" w:eastAsia="Times New Roman" w:hAnsi="Calibri" w:cs="Calibri"/>
                <w:color w:val="000000"/>
                <w:lang w:val="en-US" w:eastAsia="fr-FR"/>
              </w:rPr>
            </w:pPr>
            <w:r w:rsidRPr="004E43F7">
              <w:rPr>
                <w:rFonts w:ascii="Calibri" w:eastAsia="Times New Roman" w:hAnsi="Calibri" w:cs="Calibri"/>
                <w:color w:val="000000"/>
                <w:lang w:val="en-US" w:eastAsia="fr-FR"/>
              </w:rPr>
              <w:t>Information about how to contact an agent.</w:t>
            </w:r>
          </w:p>
        </w:tc>
      </w:tr>
    </w:tbl>
    <w:p w:rsidR="004E43F7" w:rsidRPr="00876944" w:rsidRDefault="004E43F7" w:rsidP="00876944">
      <w:pPr>
        <w:rPr>
          <w:lang w:val="en-US"/>
        </w:rPr>
      </w:pPr>
    </w:p>
    <w:sectPr w:rsidR="004E43F7" w:rsidRPr="008769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E8" w:rsidRDefault="00695AE8" w:rsidP="00E05779">
      <w:pPr>
        <w:spacing w:before="0"/>
      </w:pPr>
      <w:r>
        <w:separator/>
      </w:r>
    </w:p>
  </w:endnote>
  <w:endnote w:type="continuationSeparator" w:id="0">
    <w:p w:rsidR="00695AE8" w:rsidRDefault="00695AE8" w:rsidP="00E057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26" w:rsidRDefault="005E25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E05779">
    <w:pPr>
      <w:pStyle w:val="Pieddepage"/>
      <w:pBdr>
        <w:top w:val="thinThickSmallGap" w:sz="24" w:space="1" w:color="622423" w:themeColor="accent2" w:themeShade="7F"/>
      </w:pBdr>
      <w:rPr>
        <w:rFonts w:asciiTheme="majorHAnsi" w:eastAsiaTheme="majorEastAsia" w:hAnsiTheme="majorHAnsi" w:cstheme="majorBidi"/>
      </w:rPr>
    </w:pPr>
    <w:r>
      <w:rPr>
        <w:b/>
        <w:bCs/>
        <w:sz w:val="16"/>
        <w:szCs w:val="16"/>
      </w:rPr>
      <w:t xml:space="preserve">Association Française de Normalisation </w:t>
    </w:r>
    <w:r>
      <w:rPr>
        <w:sz w:val="16"/>
        <w:szCs w:val="16"/>
      </w:rPr>
      <w:t xml:space="preserve">11, rue Francis de </w:t>
    </w:r>
    <w:proofErr w:type="spellStart"/>
    <w:r>
      <w:rPr>
        <w:sz w:val="16"/>
        <w:szCs w:val="16"/>
      </w:rPr>
      <w:t>Pressensé</w:t>
    </w:r>
    <w:proofErr w:type="spellEnd"/>
    <w:r>
      <w:rPr>
        <w:sz w:val="16"/>
        <w:szCs w:val="16"/>
      </w:rPr>
      <w:t xml:space="preserve"> F – 93 571 La Plaine Saint Denis cedex http://www.afnor.fr SIRET 775 724 818 00205 </w:t>
    </w:r>
    <w:r>
      <w:rPr>
        <w:sz w:val="16"/>
        <w:szCs w:val="16"/>
      </w:rPr>
      <w:tab/>
    </w:r>
    <w:r>
      <w:rPr>
        <w:sz w:val="16"/>
        <w:szCs w:val="16"/>
      </w:rPr>
      <w:tab/>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951A51" w:rsidRPr="00951A5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05779" w:rsidRDefault="00E057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26" w:rsidRDefault="005E25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E8" w:rsidRDefault="00695AE8" w:rsidP="00E05779">
      <w:pPr>
        <w:spacing w:before="0"/>
      </w:pPr>
      <w:r>
        <w:separator/>
      </w:r>
    </w:p>
  </w:footnote>
  <w:footnote w:type="continuationSeparator" w:id="0">
    <w:p w:rsidR="00695AE8" w:rsidRDefault="00695AE8" w:rsidP="00E057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26" w:rsidRDefault="00695AE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8235" o:spid="_x0000_s2050" type="#_x0000_t136" style="position:absolute;margin-left:0;margin-top:0;width:587.5pt;height:51.8pt;rotation:315;z-index:-251655168;mso-position-horizontal:center;mso-position-horizontal-relative:margin;mso-position-vertical:center;mso-position-vertical-relative:margin" o:allowincell="f" fillcolor="#a5a5a5 [2092]" stroked="f">
          <v:textpath style="font-family:&quot;Calibri&quot;;font-size:1pt" string="WORK IN PROGRESS - NOT FOR DISTRIB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79" w:rsidRDefault="00695AE8" w:rsidP="005E252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8236" o:spid="_x0000_s2051" type="#_x0000_t136" style="position:absolute;margin-left:0;margin-top:0;width:587.5pt;height:51.8pt;rotation:315;z-index:-251653120;mso-position-horizontal:center;mso-position-horizontal-relative:margin;mso-position-vertical:center;mso-position-vertical-relative:margin" o:allowincell="f" fillcolor="#a5a5a5 [2092]" stroked="f">
          <v:textpath style="font-family:&quot;Calibri&quot;;font-size:1pt" string="WORK IN PROGRESS - NOT FOR DISTRIBUTION"/>
          <w10:wrap anchorx="margin" anchory="margin"/>
        </v:shape>
      </w:pict>
    </w:r>
    <w:r w:rsidR="00E05779">
      <w:rPr>
        <w:noProof/>
        <w:lang w:eastAsia="fr-FR"/>
      </w:rPr>
      <w:drawing>
        <wp:inline distT="0" distB="0" distL="0" distR="0" wp14:anchorId="1588481A" wp14:editId="2842C831">
          <wp:extent cx="2204800" cy="910080"/>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880" cy="915479"/>
                  </a:xfrm>
                  <a:prstGeom prst="rect">
                    <a:avLst/>
                  </a:prstGeom>
                  <a:noFill/>
                  <a:ln>
                    <a:noFill/>
                  </a:ln>
                </pic:spPr>
              </pic:pic>
            </a:graphicData>
          </a:graphic>
        </wp:inline>
      </w:drawing>
    </w:r>
    <w:r w:rsidR="00E97D77">
      <w:t xml:space="preserve"> </w:t>
    </w:r>
    <w:r w:rsidR="005E2526">
      <w:tab/>
    </w:r>
    <w:r w:rsidR="005E2526">
      <w:tab/>
    </w:r>
    <w:r w:rsidR="005E2526">
      <w:rPr>
        <w:noProof/>
        <w:lang w:eastAsia="fr-FR"/>
      </w:rPr>
      <w:drawing>
        <wp:inline distT="0" distB="0" distL="0" distR="0" wp14:anchorId="2506C2DD" wp14:editId="0F6E6191">
          <wp:extent cx="1439545" cy="1000125"/>
          <wp:effectExtent l="0" t="0" r="8255" b="952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545" cy="10001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26" w:rsidRDefault="00695AE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8234" o:spid="_x0000_s2049" type="#_x0000_t136" style="position:absolute;margin-left:0;margin-top:0;width:587.5pt;height:51.8pt;rotation:315;z-index:-251657216;mso-position-horizontal:center;mso-position-horizontal-relative:margin;mso-position-vertical:center;mso-position-vertical-relative:margin" o:allowincell="f" fillcolor="#a5a5a5 [2092]" stroked="f">
          <v:textpath style="font-family:&quot;Calibri&quot;;font-size:1pt" string="WORK IN PROGRESS - NOT FOR DISTRIBU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506"/>
    <w:multiLevelType w:val="hybridMultilevel"/>
    <w:tmpl w:val="A8E6FCE4"/>
    <w:lvl w:ilvl="0" w:tplc="F344111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543DD2"/>
    <w:multiLevelType w:val="hybridMultilevel"/>
    <w:tmpl w:val="F2D0C90C"/>
    <w:lvl w:ilvl="0" w:tplc="BE8E04A8">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79"/>
    <w:rsid w:val="000D223B"/>
    <w:rsid w:val="004E43F7"/>
    <w:rsid w:val="00596909"/>
    <w:rsid w:val="005C7FE0"/>
    <w:rsid w:val="005E2526"/>
    <w:rsid w:val="00611661"/>
    <w:rsid w:val="00695AE8"/>
    <w:rsid w:val="008647DF"/>
    <w:rsid w:val="00876944"/>
    <w:rsid w:val="008A20A7"/>
    <w:rsid w:val="008D2DA1"/>
    <w:rsid w:val="00937C86"/>
    <w:rsid w:val="00951A51"/>
    <w:rsid w:val="009D1CC1"/>
    <w:rsid w:val="009E04C0"/>
    <w:rsid w:val="00AA151D"/>
    <w:rsid w:val="00AC1BCE"/>
    <w:rsid w:val="00C72D86"/>
    <w:rsid w:val="00D266A0"/>
    <w:rsid w:val="00E04F07"/>
    <w:rsid w:val="00E05779"/>
    <w:rsid w:val="00E73FBE"/>
    <w:rsid w:val="00E97D77"/>
    <w:rsid w:val="00F44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5779"/>
    <w:rPr>
      <w:color w:val="0000FF" w:themeColor="hyperlink"/>
      <w:u w:val="single"/>
    </w:rPr>
  </w:style>
  <w:style w:type="paragraph" w:styleId="Textebrut">
    <w:name w:val="Plain Text"/>
    <w:basedOn w:val="Normal"/>
    <w:link w:val="TextebrutCar"/>
    <w:uiPriority w:val="99"/>
    <w:semiHidden/>
    <w:unhideWhenUsed/>
    <w:rsid w:val="00E05779"/>
    <w:pPr>
      <w:spacing w:before="0"/>
    </w:pPr>
    <w:rPr>
      <w:rFonts w:ascii="Calibri" w:hAnsi="Calibri" w:cs="Consolas"/>
      <w:szCs w:val="21"/>
    </w:rPr>
  </w:style>
  <w:style w:type="character" w:customStyle="1" w:styleId="TextebrutCar">
    <w:name w:val="Texte brut Car"/>
    <w:basedOn w:val="Policepardfaut"/>
    <w:link w:val="Textebrut"/>
    <w:uiPriority w:val="99"/>
    <w:semiHidden/>
    <w:rsid w:val="00E05779"/>
    <w:rPr>
      <w:rFonts w:ascii="Calibri" w:hAnsi="Calibri" w:cs="Consolas"/>
      <w:szCs w:val="21"/>
    </w:rPr>
  </w:style>
  <w:style w:type="paragraph" w:customStyle="1" w:styleId="Default">
    <w:name w:val="Default"/>
    <w:rsid w:val="00E05779"/>
    <w:pPr>
      <w:autoSpaceDE w:val="0"/>
      <w:autoSpaceDN w:val="0"/>
      <w:adjustRightInd w:val="0"/>
      <w:spacing w:before="0"/>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E0577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79"/>
    <w:rPr>
      <w:rFonts w:ascii="Tahoma" w:hAnsi="Tahoma" w:cs="Tahoma"/>
      <w:sz w:val="16"/>
      <w:szCs w:val="16"/>
    </w:rPr>
  </w:style>
  <w:style w:type="paragraph" w:styleId="En-tte">
    <w:name w:val="header"/>
    <w:basedOn w:val="Normal"/>
    <w:link w:val="En-tteCar"/>
    <w:uiPriority w:val="99"/>
    <w:unhideWhenUsed/>
    <w:rsid w:val="00E05779"/>
    <w:pPr>
      <w:tabs>
        <w:tab w:val="center" w:pos="4536"/>
        <w:tab w:val="right" w:pos="9072"/>
      </w:tabs>
      <w:spacing w:before="0"/>
    </w:pPr>
  </w:style>
  <w:style w:type="character" w:customStyle="1" w:styleId="En-tteCar">
    <w:name w:val="En-tête Car"/>
    <w:basedOn w:val="Policepardfaut"/>
    <w:link w:val="En-tte"/>
    <w:uiPriority w:val="99"/>
    <w:rsid w:val="00E05779"/>
  </w:style>
  <w:style w:type="paragraph" w:styleId="Pieddepage">
    <w:name w:val="footer"/>
    <w:basedOn w:val="Normal"/>
    <w:link w:val="PieddepageCar"/>
    <w:uiPriority w:val="99"/>
    <w:unhideWhenUsed/>
    <w:rsid w:val="00E05779"/>
    <w:pPr>
      <w:tabs>
        <w:tab w:val="center" w:pos="4536"/>
        <w:tab w:val="right" w:pos="9072"/>
      </w:tabs>
      <w:spacing w:before="0"/>
    </w:pPr>
  </w:style>
  <w:style w:type="character" w:customStyle="1" w:styleId="PieddepageCar">
    <w:name w:val="Pied de page Car"/>
    <w:basedOn w:val="Policepardfaut"/>
    <w:link w:val="Pieddepage"/>
    <w:uiPriority w:val="99"/>
    <w:rsid w:val="00E05779"/>
  </w:style>
  <w:style w:type="paragraph" w:styleId="NormalWeb">
    <w:name w:val="Normal (Web)"/>
    <w:basedOn w:val="Normal"/>
    <w:uiPriority w:val="99"/>
    <w:semiHidden/>
    <w:unhideWhenUsed/>
    <w:rsid w:val="00AA151D"/>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5E2526"/>
    <w:pPr>
      <w:spacing w:before="0" w:after="200" w:line="276" w:lineRule="auto"/>
      <w:ind w:left="720"/>
      <w:contextualSpacing/>
    </w:pPr>
  </w:style>
  <w:style w:type="character" w:styleId="Lienhypertextesuivivisit">
    <w:name w:val="FollowedHyperlink"/>
    <w:basedOn w:val="Policepardfaut"/>
    <w:uiPriority w:val="99"/>
    <w:semiHidden/>
    <w:unhideWhenUsed/>
    <w:rsid w:val="00596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5779"/>
    <w:rPr>
      <w:color w:val="0000FF" w:themeColor="hyperlink"/>
      <w:u w:val="single"/>
    </w:rPr>
  </w:style>
  <w:style w:type="paragraph" w:styleId="Textebrut">
    <w:name w:val="Plain Text"/>
    <w:basedOn w:val="Normal"/>
    <w:link w:val="TextebrutCar"/>
    <w:uiPriority w:val="99"/>
    <w:semiHidden/>
    <w:unhideWhenUsed/>
    <w:rsid w:val="00E05779"/>
    <w:pPr>
      <w:spacing w:before="0"/>
    </w:pPr>
    <w:rPr>
      <w:rFonts w:ascii="Calibri" w:hAnsi="Calibri" w:cs="Consolas"/>
      <w:szCs w:val="21"/>
    </w:rPr>
  </w:style>
  <w:style w:type="character" w:customStyle="1" w:styleId="TextebrutCar">
    <w:name w:val="Texte brut Car"/>
    <w:basedOn w:val="Policepardfaut"/>
    <w:link w:val="Textebrut"/>
    <w:uiPriority w:val="99"/>
    <w:semiHidden/>
    <w:rsid w:val="00E05779"/>
    <w:rPr>
      <w:rFonts w:ascii="Calibri" w:hAnsi="Calibri" w:cs="Consolas"/>
      <w:szCs w:val="21"/>
    </w:rPr>
  </w:style>
  <w:style w:type="paragraph" w:customStyle="1" w:styleId="Default">
    <w:name w:val="Default"/>
    <w:rsid w:val="00E05779"/>
    <w:pPr>
      <w:autoSpaceDE w:val="0"/>
      <w:autoSpaceDN w:val="0"/>
      <w:adjustRightInd w:val="0"/>
      <w:spacing w:before="0"/>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E0577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5779"/>
    <w:rPr>
      <w:rFonts w:ascii="Tahoma" w:hAnsi="Tahoma" w:cs="Tahoma"/>
      <w:sz w:val="16"/>
      <w:szCs w:val="16"/>
    </w:rPr>
  </w:style>
  <w:style w:type="paragraph" w:styleId="En-tte">
    <w:name w:val="header"/>
    <w:basedOn w:val="Normal"/>
    <w:link w:val="En-tteCar"/>
    <w:uiPriority w:val="99"/>
    <w:unhideWhenUsed/>
    <w:rsid w:val="00E05779"/>
    <w:pPr>
      <w:tabs>
        <w:tab w:val="center" w:pos="4536"/>
        <w:tab w:val="right" w:pos="9072"/>
      </w:tabs>
      <w:spacing w:before="0"/>
    </w:pPr>
  </w:style>
  <w:style w:type="character" w:customStyle="1" w:styleId="En-tteCar">
    <w:name w:val="En-tête Car"/>
    <w:basedOn w:val="Policepardfaut"/>
    <w:link w:val="En-tte"/>
    <w:uiPriority w:val="99"/>
    <w:rsid w:val="00E05779"/>
  </w:style>
  <w:style w:type="paragraph" w:styleId="Pieddepage">
    <w:name w:val="footer"/>
    <w:basedOn w:val="Normal"/>
    <w:link w:val="PieddepageCar"/>
    <w:uiPriority w:val="99"/>
    <w:unhideWhenUsed/>
    <w:rsid w:val="00E05779"/>
    <w:pPr>
      <w:tabs>
        <w:tab w:val="center" w:pos="4536"/>
        <w:tab w:val="right" w:pos="9072"/>
      </w:tabs>
      <w:spacing w:before="0"/>
    </w:pPr>
  </w:style>
  <w:style w:type="character" w:customStyle="1" w:styleId="PieddepageCar">
    <w:name w:val="Pied de page Car"/>
    <w:basedOn w:val="Policepardfaut"/>
    <w:link w:val="Pieddepage"/>
    <w:uiPriority w:val="99"/>
    <w:rsid w:val="00E05779"/>
  </w:style>
  <w:style w:type="paragraph" w:styleId="NormalWeb">
    <w:name w:val="Normal (Web)"/>
    <w:basedOn w:val="Normal"/>
    <w:uiPriority w:val="99"/>
    <w:semiHidden/>
    <w:unhideWhenUsed/>
    <w:rsid w:val="00AA151D"/>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5E2526"/>
    <w:pPr>
      <w:spacing w:before="0" w:after="200" w:line="276" w:lineRule="auto"/>
      <w:ind w:left="720"/>
      <w:contextualSpacing/>
    </w:pPr>
  </w:style>
  <w:style w:type="character" w:styleId="Lienhypertextesuivivisit">
    <w:name w:val="FollowedHyperlink"/>
    <w:basedOn w:val="Policepardfaut"/>
    <w:uiPriority w:val="99"/>
    <w:semiHidden/>
    <w:unhideWhenUsed/>
    <w:rsid w:val="00596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919">
      <w:bodyDiv w:val="1"/>
      <w:marLeft w:val="0"/>
      <w:marRight w:val="0"/>
      <w:marTop w:val="0"/>
      <w:marBottom w:val="0"/>
      <w:divBdr>
        <w:top w:val="none" w:sz="0" w:space="0" w:color="auto"/>
        <w:left w:val="none" w:sz="0" w:space="0" w:color="auto"/>
        <w:bottom w:val="none" w:sz="0" w:space="0" w:color="auto"/>
        <w:right w:val="none" w:sz="0" w:space="0" w:color="auto"/>
      </w:divBdr>
    </w:div>
    <w:div w:id="213931127">
      <w:bodyDiv w:val="1"/>
      <w:marLeft w:val="0"/>
      <w:marRight w:val="0"/>
      <w:marTop w:val="0"/>
      <w:marBottom w:val="0"/>
      <w:divBdr>
        <w:top w:val="none" w:sz="0" w:space="0" w:color="auto"/>
        <w:left w:val="none" w:sz="0" w:space="0" w:color="auto"/>
        <w:bottom w:val="none" w:sz="0" w:space="0" w:color="auto"/>
        <w:right w:val="none" w:sz="0" w:space="0" w:color="auto"/>
      </w:divBdr>
    </w:div>
    <w:div w:id="383675295">
      <w:bodyDiv w:val="1"/>
      <w:marLeft w:val="0"/>
      <w:marRight w:val="0"/>
      <w:marTop w:val="0"/>
      <w:marBottom w:val="0"/>
      <w:divBdr>
        <w:top w:val="none" w:sz="0" w:space="0" w:color="auto"/>
        <w:left w:val="none" w:sz="0" w:space="0" w:color="auto"/>
        <w:bottom w:val="none" w:sz="0" w:space="0" w:color="auto"/>
        <w:right w:val="none" w:sz="0" w:space="0" w:color="auto"/>
      </w:divBdr>
    </w:div>
    <w:div w:id="611982114">
      <w:bodyDiv w:val="1"/>
      <w:marLeft w:val="0"/>
      <w:marRight w:val="0"/>
      <w:marTop w:val="0"/>
      <w:marBottom w:val="0"/>
      <w:divBdr>
        <w:top w:val="none" w:sz="0" w:space="0" w:color="auto"/>
        <w:left w:val="none" w:sz="0" w:space="0" w:color="auto"/>
        <w:bottom w:val="none" w:sz="0" w:space="0" w:color="auto"/>
        <w:right w:val="none" w:sz="0" w:space="0" w:color="auto"/>
      </w:divBdr>
    </w:div>
    <w:div w:id="788165606">
      <w:bodyDiv w:val="1"/>
      <w:marLeft w:val="0"/>
      <w:marRight w:val="0"/>
      <w:marTop w:val="0"/>
      <w:marBottom w:val="0"/>
      <w:divBdr>
        <w:top w:val="none" w:sz="0" w:space="0" w:color="auto"/>
        <w:left w:val="none" w:sz="0" w:space="0" w:color="auto"/>
        <w:bottom w:val="none" w:sz="0" w:space="0" w:color="auto"/>
        <w:right w:val="none" w:sz="0" w:space="0" w:color="auto"/>
      </w:divBdr>
    </w:div>
    <w:div w:id="1025400433">
      <w:bodyDiv w:val="1"/>
      <w:marLeft w:val="0"/>
      <w:marRight w:val="0"/>
      <w:marTop w:val="0"/>
      <w:marBottom w:val="0"/>
      <w:divBdr>
        <w:top w:val="none" w:sz="0" w:space="0" w:color="auto"/>
        <w:left w:val="none" w:sz="0" w:space="0" w:color="auto"/>
        <w:bottom w:val="none" w:sz="0" w:space="0" w:color="auto"/>
        <w:right w:val="none" w:sz="0" w:space="0" w:color="auto"/>
      </w:divBdr>
    </w:div>
    <w:div w:id="1154184278">
      <w:bodyDiv w:val="1"/>
      <w:marLeft w:val="0"/>
      <w:marRight w:val="0"/>
      <w:marTop w:val="0"/>
      <w:marBottom w:val="0"/>
      <w:divBdr>
        <w:top w:val="none" w:sz="0" w:space="0" w:color="auto"/>
        <w:left w:val="none" w:sz="0" w:space="0" w:color="auto"/>
        <w:bottom w:val="none" w:sz="0" w:space="0" w:color="auto"/>
        <w:right w:val="none" w:sz="0" w:space="0" w:color="auto"/>
      </w:divBdr>
    </w:div>
    <w:div w:id="2073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url=http://ec.europa.eu/archival-policy/docs/edomec/2009-1643-sec_mda_fr.pdf&amp;rct=j&amp;frm=1&amp;q=&amp;esrc=s&amp;sa=U&amp;ved=0CBQQFjAAahUKEwjVt-u0itLIAhUGWxoKHQPOAcI&amp;usg=AFQjCNHkxXXpdIrccOdrwmjBZUrrLQYnzQ" TargetMode="External"/><Relationship Id="rId13" Type="http://schemas.openxmlformats.org/officeDocument/2006/relationships/hyperlink" Target="http://www.banq.qc.ca/documents/services/archivistique_ged/Profils_metadonnees_gouvernementaux_Dos_Doc_version2_0_avril2009_VF.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lectionscanada.gc.ca/government/002/007002-5001-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lectionscanada.gc.ca/government/002/007002-5001-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ionalarchives.gov.uk/documents/information-management/egms-metadata-standard.pdf%20200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a.gov.au/records-management/publications/agrkms/index.aspx" TargetMode="External"/><Relationship Id="rId14" Type="http://schemas.openxmlformats.org/officeDocument/2006/relationships/hyperlink" Target="http://www.banq.qc.ca/documents/services/archivistique_ged/Profils_metadonnees_gouvernementaux_Dos_Doc_version2_0_avril2009_VF.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Dessolin-Baumann Sylvie</dc:creator>
  <cp:keywords/>
  <dc:description/>
  <cp:lastModifiedBy>Dessolin-Baumann Sylvie</cp:lastModifiedBy>
  <cp:revision>3</cp:revision>
  <dcterms:created xsi:type="dcterms:W3CDTF">2016-04-24T19:19:00Z</dcterms:created>
  <dcterms:modified xsi:type="dcterms:W3CDTF">2016-04-24T19:20:00Z</dcterms:modified>
</cp:coreProperties>
</file>