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5480"/>
        <w:gridCol w:w="2786"/>
        <w:gridCol w:w="1545"/>
      </w:tblGrid>
      <w:tr w:rsidR="00CD1D0A" w:rsidRPr="00CD1D0A" w:rsidTr="00CD1D0A">
        <w:trPr>
          <w:trHeight w:val="300"/>
        </w:trPr>
        <w:tc>
          <w:tcPr>
            <w:tcW w:w="4360" w:type="dxa"/>
            <w:noWrap/>
            <w:hideMark/>
          </w:tcPr>
          <w:p w:rsidR="00CD1D0A" w:rsidRPr="00CD1D0A" w:rsidRDefault="002D1A86" w:rsidP="00CD1D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TM/AOS </w:t>
            </w:r>
            <w:r w:rsidR="00CD1D0A" w:rsidRPr="00CD1D0A">
              <w:rPr>
                <w:b/>
                <w:bCs/>
              </w:rPr>
              <w:t xml:space="preserve">MC </w:t>
            </w:r>
            <w:proofErr w:type="spellStart"/>
            <w:r w:rsidR="00CD1D0A" w:rsidRPr="00CD1D0A">
              <w:rPr>
                <w:b/>
                <w:bCs/>
              </w:rPr>
              <w:t>Demux</w:t>
            </w:r>
            <w:proofErr w:type="spellEnd"/>
            <w:r w:rsidR="00CD1D0A" w:rsidRPr="00CD1D0A">
              <w:rPr>
                <w:b/>
                <w:bCs/>
              </w:rPr>
              <w:t xml:space="preserve"> &amp; Reception  </w:t>
            </w:r>
          </w:p>
        </w:tc>
        <w:tc>
          <w:tcPr>
            <w:tcW w:w="7680" w:type="dxa"/>
            <w:noWrap/>
            <w:hideMark/>
          </w:tcPr>
          <w:p w:rsidR="00CD1D0A" w:rsidRPr="00CD1D0A" w:rsidRDefault="00CD1D0A" w:rsidP="00CD1D0A">
            <w:pPr>
              <w:rPr>
                <w:b/>
                <w:bCs/>
              </w:rPr>
            </w:pPr>
            <w:r w:rsidRPr="00CD1D0A">
              <w:rPr>
                <w:b/>
                <w:bCs/>
              </w:rPr>
              <w:t>Creator = CSTSWG</w:t>
            </w:r>
          </w:p>
        </w:tc>
        <w:tc>
          <w:tcPr>
            <w:tcW w:w="3860" w:type="dxa"/>
            <w:noWrap/>
            <w:hideMark/>
          </w:tcPr>
          <w:p w:rsidR="00CD1D0A" w:rsidRPr="00CD1D0A" w:rsidRDefault="00CD1D0A" w:rsidP="00CD1D0A">
            <w:pPr>
              <w:rPr>
                <w:b/>
                <w:bCs/>
              </w:rPr>
            </w:pPr>
            <w:r w:rsidRPr="00CD1D0A">
              <w:rPr>
                <w:b/>
                <w:bCs/>
              </w:rPr>
              <w:t>Editor = Wolfgang</w:t>
            </w:r>
          </w:p>
        </w:tc>
        <w:tc>
          <w:tcPr>
            <w:tcW w:w="2100" w:type="dxa"/>
            <w:noWrap/>
            <w:hideMark/>
          </w:tcPr>
          <w:p w:rsidR="00CD1D0A" w:rsidRPr="00CD1D0A" w:rsidRDefault="00CD1D0A" w:rsidP="00CD1D0A">
            <w:pPr>
              <w:rPr>
                <w:b/>
                <w:bCs/>
              </w:rPr>
            </w:pPr>
            <w:r w:rsidRPr="00CD1D0A">
              <w:rPr>
                <w:b/>
                <w:bCs/>
              </w:rPr>
              <w:t xml:space="preserve">Reviewer </w:t>
            </w:r>
            <w:proofErr w:type="gramStart"/>
            <w:r w:rsidRPr="00CD1D0A">
              <w:rPr>
                <w:b/>
                <w:bCs/>
              </w:rPr>
              <w:t>= ??</w:t>
            </w:r>
            <w:proofErr w:type="gramEnd"/>
          </w:p>
        </w:tc>
      </w:tr>
      <w:tr w:rsidR="00CD1D0A" w:rsidRPr="00CD1D0A" w:rsidTr="00CD1D0A">
        <w:trPr>
          <w:trHeight w:val="300"/>
        </w:trPr>
        <w:tc>
          <w:tcPr>
            <w:tcW w:w="18000" w:type="dxa"/>
            <w:gridSpan w:val="4"/>
            <w:noWrap/>
            <w:hideMark/>
          </w:tcPr>
          <w:p w:rsidR="00CD1D0A" w:rsidRPr="00CD1D0A" w:rsidRDefault="00CD1D0A" w:rsidP="00225C72">
            <w:pPr>
              <w:rPr>
                <w:b/>
                <w:bCs/>
              </w:rPr>
            </w:pPr>
            <w:r w:rsidRPr="00CD1D0A">
              <w:rPr>
                <w:b/>
                <w:bCs/>
              </w:rPr>
              <w:t>Status:</w:t>
            </w:r>
            <w:r w:rsidR="00FB7031">
              <w:rPr>
                <w:b/>
                <w:bCs/>
              </w:rPr>
              <w:t xml:space="preserve"> 19</w:t>
            </w:r>
            <w:r w:rsidR="00225C72">
              <w:rPr>
                <w:b/>
                <w:bCs/>
              </w:rPr>
              <w:t>1024</w:t>
            </w:r>
          </w:p>
        </w:tc>
      </w:tr>
    </w:tbl>
    <w:p w:rsidR="001E72E6" w:rsidRDefault="001E72E6" w:rsidP="00CF15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5286"/>
        <w:gridCol w:w="2595"/>
        <w:gridCol w:w="1446"/>
        <w:gridCol w:w="702"/>
      </w:tblGrid>
      <w:tr w:rsidR="00CD1D0A" w:rsidRPr="00CD1D0A" w:rsidTr="00CD1D0A">
        <w:trPr>
          <w:trHeight w:val="300"/>
          <w:tblHeader/>
        </w:trPr>
        <w:tc>
          <w:tcPr>
            <w:tcW w:w="4360" w:type="dxa"/>
            <w:noWrap/>
            <w:hideMark/>
          </w:tcPr>
          <w:p w:rsidR="00CD1D0A" w:rsidRPr="00CD1D0A" w:rsidRDefault="00CD1D0A" w:rsidP="00CD1D0A">
            <w:pPr>
              <w:rPr>
                <w:b/>
                <w:bCs/>
              </w:rPr>
            </w:pPr>
            <w:r w:rsidRPr="00CD1D0A">
              <w:rPr>
                <w:b/>
                <w:bCs/>
              </w:rPr>
              <w:t>Issue Short Title</w:t>
            </w:r>
          </w:p>
        </w:tc>
        <w:tc>
          <w:tcPr>
            <w:tcW w:w="7983" w:type="dxa"/>
            <w:noWrap/>
            <w:hideMark/>
          </w:tcPr>
          <w:p w:rsidR="00CD1D0A" w:rsidRPr="00CD1D0A" w:rsidRDefault="00CD1D0A" w:rsidP="00CD1D0A">
            <w:pPr>
              <w:rPr>
                <w:b/>
                <w:bCs/>
              </w:rPr>
            </w:pPr>
            <w:r w:rsidRPr="00CD1D0A">
              <w:rPr>
                <w:b/>
                <w:bCs/>
              </w:rPr>
              <w:t>Issue Description/Discussion</w:t>
            </w:r>
          </w:p>
        </w:tc>
        <w:tc>
          <w:tcPr>
            <w:tcW w:w="3860" w:type="dxa"/>
            <w:noWrap/>
            <w:hideMark/>
          </w:tcPr>
          <w:p w:rsidR="00CD1D0A" w:rsidRPr="00CD1D0A" w:rsidRDefault="00CD1D0A" w:rsidP="00CD1D0A">
            <w:pPr>
              <w:rPr>
                <w:b/>
                <w:bCs/>
              </w:rPr>
            </w:pPr>
            <w:r w:rsidRPr="00CD1D0A">
              <w:rPr>
                <w:b/>
                <w:bCs/>
              </w:rPr>
              <w:t>Source</w:t>
            </w:r>
          </w:p>
        </w:tc>
        <w:tc>
          <w:tcPr>
            <w:tcW w:w="2100" w:type="dxa"/>
            <w:noWrap/>
            <w:hideMark/>
          </w:tcPr>
          <w:p w:rsidR="00CD1D0A" w:rsidRPr="00CD1D0A" w:rsidRDefault="00CD1D0A" w:rsidP="00CD1D0A">
            <w:pPr>
              <w:rPr>
                <w:b/>
                <w:bCs/>
              </w:rPr>
            </w:pPr>
            <w:r w:rsidRPr="00CD1D0A">
              <w:rPr>
                <w:b/>
                <w:bCs/>
              </w:rPr>
              <w:t>Status</w:t>
            </w:r>
          </w:p>
        </w:tc>
        <w:tc>
          <w:tcPr>
            <w:tcW w:w="960" w:type="dxa"/>
            <w:noWrap/>
            <w:hideMark/>
          </w:tcPr>
          <w:p w:rsidR="00CD1D0A" w:rsidRPr="00CD1D0A" w:rsidRDefault="00CD1D0A" w:rsidP="00CD1D0A">
            <w:pPr>
              <w:rPr>
                <w:b/>
                <w:bCs/>
              </w:rPr>
            </w:pPr>
            <w:r w:rsidRPr="00CD1D0A">
              <w:rPr>
                <w:b/>
                <w:bCs/>
              </w:rPr>
              <w:t>O/C</w:t>
            </w:r>
          </w:p>
        </w:tc>
      </w:tr>
      <w:tr w:rsidR="00CD1D0A" w:rsidRPr="00CD1D0A" w:rsidTr="00CD1D0A">
        <w:trPr>
          <w:trHeight w:val="300"/>
        </w:trPr>
        <w:tc>
          <w:tcPr>
            <w:tcW w:w="4360" w:type="dxa"/>
            <w:noWrap/>
            <w:hideMark/>
          </w:tcPr>
          <w:p w:rsidR="00CD1D0A" w:rsidRPr="00225C72" w:rsidRDefault="00CD1D0A">
            <w:pPr>
              <w:rPr>
                <w:b/>
                <w:color w:val="00B050"/>
              </w:rPr>
            </w:pPr>
            <w:r w:rsidRPr="00225C72">
              <w:rPr>
                <w:b/>
                <w:color w:val="00B050"/>
              </w:rPr>
              <w:t>Break into 2 FRs</w:t>
            </w:r>
          </w:p>
        </w:tc>
        <w:tc>
          <w:tcPr>
            <w:tcW w:w="7983" w:type="dxa"/>
            <w:noWrap/>
            <w:hideMark/>
          </w:tcPr>
          <w:p w:rsidR="00CD1D0A" w:rsidRPr="00225C72" w:rsidRDefault="00CD1D0A">
            <w:pPr>
              <w:rPr>
                <w:b/>
                <w:color w:val="00B050"/>
              </w:rPr>
            </w:pPr>
            <w:r w:rsidRPr="00225C72">
              <w:rPr>
                <w:b/>
                <w:color w:val="00B050"/>
              </w:rPr>
              <w:t xml:space="preserve">needs to be broken out into 2 separate FRs: Return MC </w:t>
            </w:r>
            <w:proofErr w:type="spellStart"/>
            <w:r w:rsidRPr="00225C72">
              <w:rPr>
                <w:b/>
                <w:color w:val="00B050"/>
              </w:rPr>
              <w:t>Demux</w:t>
            </w:r>
            <w:proofErr w:type="spellEnd"/>
            <w:r w:rsidRPr="00225C72">
              <w:rPr>
                <w:b/>
                <w:color w:val="00B050"/>
              </w:rPr>
              <w:t xml:space="preserve"> and Return MC Reception</w:t>
            </w:r>
          </w:p>
          <w:p w:rsidR="00FB7031" w:rsidRPr="00225C72" w:rsidRDefault="00FB7031">
            <w:pPr>
              <w:rPr>
                <w:b/>
                <w:color w:val="00B050"/>
              </w:rPr>
            </w:pPr>
          </w:p>
          <w:p w:rsidR="00FB7031" w:rsidRPr="00225C72" w:rsidRDefault="00FB7031">
            <w:pPr>
              <w:rPr>
                <w:b/>
                <w:color w:val="00B050"/>
              </w:rPr>
            </w:pPr>
            <w:r w:rsidRPr="00225C72">
              <w:rPr>
                <w:b/>
                <w:color w:val="00B050"/>
              </w:rPr>
              <w:t xml:space="preserve">190812 WH – I realize that the FR TN applies this split, but I fail to see the advantage of doing that. </w:t>
            </w:r>
            <w:proofErr w:type="gramStart"/>
            <w:r w:rsidRPr="00225C72">
              <w:rPr>
                <w:b/>
                <w:color w:val="00B050"/>
              </w:rPr>
              <w:t>Therefore</w:t>
            </w:r>
            <w:proofErr w:type="gramEnd"/>
            <w:r w:rsidRPr="00225C72">
              <w:rPr>
                <w:b/>
                <w:color w:val="00B050"/>
              </w:rPr>
              <w:t xml:space="preserve"> for now I left the FR scope as it was originally. We should discuss which benefits this split would bring. </w:t>
            </w:r>
          </w:p>
          <w:p w:rsidR="00225C72" w:rsidRPr="00225C72" w:rsidRDefault="00225C72">
            <w:pPr>
              <w:rPr>
                <w:b/>
                <w:color w:val="00B050"/>
              </w:rPr>
            </w:pPr>
          </w:p>
          <w:p w:rsidR="00225C72" w:rsidRPr="00225C72" w:rsidRDefault="00225C72" w:rsidP="00225C72">
            <w:pPr>
              <w:rPr>
                <w:b/>
                <w:color w:val="00B050"/>
              </w:rPr>
            </w:pPr>
            <w:r w:rsidRPr="00225C72">
              <w:rPr>
                <w:b/>
                <w:color w:val="00B050"/>
              </w:rPr>
              <w:t>191024 JP – We agreed to keep the two functions combined into the single FR, and to add a configuration parameter to identify whether one of the MCs carries an MC CLCW (and if so, which MC)</w:t>
            </w:r>
          </w:p>
        </w:tc>
        <w:tc>
          <w:tcPr>
            <w:tcW w:w="3860" w:type="dxa"/>
            <w:noWrap/>
            <w:hideMark/>
          </w:tcPr>
          <w:p w:rsidR="00CD1D0A" w:rsidRPr="00225C72" w:rsidRDefault="00CD1D0A">
            <w:pPr>
              <w:rPr>
                <w:b/>
                <w:color w:val="00B050"/>
              </w:rPr>
            </w:pPr>
            <w:r w:rsidRPr="00225C72">
              <w:rPr>
                <w:b/>
                <w:color w:val="00B050"/>
              </w:rPr>
              <w:t>FR Tech Note</w:t>
            </w:r>
          </w:p>
        </w:tc>
        <w:tc>
          <w:tcPr>
            <w:tcW w:w="2100" w:type="dxa"/>
            <w:noWrap/>
            <w:hideMark/>
          </w:tcPr>
          <w:p w:rsidR="00CD1D0A" w:rsidRPr="00225C72" w:rsidRDefault="00225C72">
            <w:pPr>
              <w:rPr>
                <w:b/>
                <w:color w:val="00B050"/>
              </w:rPr>
            </w:pPr>
            <w:r w:rsidRPr="00225C72">
              <w:rPr>
                <w:b/>
                <w:color w:val="00B050"/>
              </w:rPr>
              <w:t>CLOSED - 191024</w:t>
            </w:r>
          </w:p>
        </w:tc>
        <w:tc>
          <w:tcPr>
            <w:tcW w:w="960" w:type="dxa"/>
            <w:noWrap/>
            <w:hideMark/>
          </w:tcPr>
          <w:p w:rsidR="00CD1D0A" w:rsidRPr="00225C72" w:rsidRDefault="00225C72">
            <w:pPr>
              <w:rPr>
                <w:b/>
                <w:color w:val="00B050"/>
              </w:rPr>
            </w:pPr>
            <w:r w:rsidRPr="00225C72">
              <w:rPr>
                <w:b/>
                <w:color w:val="00B050"/>
              </w:rPr>
              <w:t>C</w:t>
            </w:r>
          </w:p>
        </w:tc>
      </w:tr>
      <w:tr w:rsidR="00CD1D0A" w:rsidRPr="00CD1D0A" w:rsidTr="00CD1D0A">
        <w:trPr>
          <w:trHeight w:val="300"/>
        </w:trPr>
        <w:tc>
          <w:tcPr>
            <w:tcW w:w="4360" w:type="dxa"/>
            <w:noWrap/>
            <w:hideMark/>
          </w:tcPr>
          <w:p w:rsidR="00CD1D0A" w:rsidRPr="002044EF" w:rsidRDefault="00CD1D0A">
            <w:pPr>
              <w:rPr>
                <w:b/>
                <w:color w:val="00B050"/>
              </w:rPr>
            </w:pPr>
            <w:proofErr w:type="gramStart"/>
            <w:r w:rsidRPr="002044EF">
              <w:rPr>
                <w:b/>
                <w:color w:val="00B050"/>
              </w:rPr>
              <w:t>do</w:t>
            </w:r>
            <w:proofErr w:type="gramEnd"/>
            <w:r w:rsidRPr="002044EF">
              <w:rPr>
                <w:b/>
                <w:color w:val="00B050"/>
              </w:rPr>
              <w:t xml:space="preserve"> they have resource status?</w:t>
            </w:r>
          </w:p>
        </w:tc>
        <w:tc>
          <w:tcPr>
            <w:tcW w:w="7983" w:type="dxa"/>
            <w:noWrap/>
            <w:hideMark/>
          </w:tcPr>
          <w:p w:rsidR="00FB7031" w:rsidRPr="002044EF" w:rsidRDefault="00FB7031" w:rsidP="00FB7031">
            <w:pPr>
              <w:rPr>
                <w:b/>
                <w:color w:val="00B050"/>
              </w:rPr>
            </w:pPr>
            <w:r w:rsidRPr="002044EF">
              <w:rPr>
                <w:b/>
                <w:color w:val="00B050"/>
              </w:rPr>
              <w:t xml:space="preserve">190812 WH – Yes, I think that we have agreed at some point that any FR type shall have a resource status and consequently it </w:t>
            </w:r>
            <w:proofErr w:type="gramStart"/>
            <w:r w:rsidRPr="002044EF">
              <w:rPr>
                <w:b/>
                <w:color w:val="00B050"/>
              </w:rPr>
              <w:t>then also</w:t>
            </w:r>
            <w:proofErr w:type="gramEnd"/>
            <w:r w:rsidRPr="002044EF">
              <w:rPr>
                <w:b/>
                <w:color w:val="00B050"/>
              </w:rPr>
              <w:t xml:space="preserve"> should have the associated resource status change event. I have now added both to the FR, although I have difficulties what the semantic of this parameter might be in this particular case.</w:t>
            </w:r>
          </w:p>
        </w:tc>
        <w:tc>
          <w:tcPr>
            <w:tcW w:w="3860" w:type="dxa"/>
            <w:noWrap/>
            <w:hideMark/>
          </w:tcPr>
          <w:p w:rsidR="00CD1D0A" w:rsidRPr="002044EF" w:rsidRDefault="00CD1D0A">
            <w:pPr>
              <w:rPr>
                <w:b/>
                <w:color w:val="00B050"/>
              </w:rPr>
            </w:pPr>
            <w:r w:rsidRPr="002044EF">
              <w:rPr>
                <w:b/>
                <w:color w:val="00B050"/>
              </w:rPr>
              <w:t>correspondence between WH and JP</w:t>
            </w:r>
          </w:p>
        </w:tc>
        <w:tc>
          <w:tcPr>
            <w:tcW w:w="2100" w:type="dxa"/>
            <w:noWrap/>
            <w:hideMark/>
          </w:tcPr>
          <w:p w:rsidR="00CD1D0A" w:rsidRPr="002044EF" w:rsidRDefault="00CD1D0A">
            <w:pPr>
              <w:rPr>
                <w:b/>
                <w:color w:val="00B050"/>
              </w:rPr>
            </w:pPr>
            <w:r w:rsidRPr="002044EF">
              <w:rPr>
                <w:b/>
                <w:color w:val="00B050"/>
              </w:rPr>
              <w:t>agreed/editor</w:t>
            </w:r>
          </w:p>
        </w:tc>
        <w:tc>
          <w:tcPr>
            <w:tcW w:w="960" w:type="dxa"/>
            <w:noWrap/>
            <w:hideMark/>
          </w:tcPr>
          <w:p w:rsidR="00CD1D0A" w:rsidRPr="002044EF" w:rsidRDefault="002044E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</w:t>
            </w:r>
          </w:p>
        </w:tc>
      </w:tr>
      <w:tr w:rsidR="00CD1D0A" w:rsidRPr="00CD1D0A" w:rsidTr="00CD1D0A">
        <w:trPr>
          <w:trHeight w:val="300"/>
        </w:trPr>
        <w:tc>
          <w:tcPr>
            <w:tcW w:w="4360" w:type="dxa"/>
            <w:noWrap/>
            <w:hideMark/>
          </w:tcPr>
          <w:p w:rsidR="00CD1D0A" w:rsidRPr="002044EF" w:rsidRDefault="00CD1D0A">
            <w:pPr>
              <w:rPr>
                <w:b/>
                <w:color w:val="00B050"/>
              </w:rPr>
            </w:pPr>
            <w:r w:rsidRPr="002044EF">
              <w:rPr>
                <w:b/>
                <w:color w:val="00B050"/>
              </w:rPr>
              <w:t>parameters are configured</w:t>
            </w:r>
          </w:p>
        </w:tc>
        <w:tc>
          <w:tcPr>
            <w:tcW w:w="7983" w:type="dxa"/>
            <w:noWrap/>
            <w:hideMark/>
          </w:tcPr>
          <w:p w:rsidR="00CD1D0A" w:rsidRPr="002044EF" w:rsidRDefault="00CD1D0A">
            <w:pPr>
              <w:rPr>
                <w:b/>
                <w:color w:val="00B050"/>
              </w:rPr>
            </w:pPr>
            <w:r w:rsidRPr="002044EF">
              <w:rPr>
                <w:b/>
                <w:color w:val="00B050"/>
              </w:rPr>
              <w:t>The listed parameters must be configured</w:t>
            </w:r>
          </w:p>
          <w:p w:rsidR="003122E1" w:rsidRPr="002044EF" w:rsidRDefault="003122E1">
            <w:pPr>
              <w:rPr>
                <w:b/>
                <w:color w:val="00B050"/>
              </w:rPr>
            </w:pPr>
          </w:p>
          <w:p w:rsidR="003122E1" w:rsidRPr="002044EF" w:rsidRDefault="003122E1" w:rsidP="003122E1">
            <w:pPr>
              <w:rPr>
                <w:b/>
                <w:color w:val="00B050"/>
              </w:rPr>
            </w:pPr>
            <w:r w:rsidRPr="002044EF">
              <w:rPr>
                <w:b/>
                <w:color w:val="00B050"/>
              </w:rPr>
              <w:t>190812 WH – Agreed and therefore I have also added the directive to the FR that permits setting of those parameters.</w:t>
            </w:r>
          </w:p>
        </w:tc>
        <w:tc>
          <w:tcPr>
            <w:tcW w:w="3860" w:type="dxa"/>
            <w:noWrap/>
            <w:hideMark/>
          </w:tcPr>
          <w:p w:rsidR="00CD1D0A" w:rsidRPr="002044EF" w:rsidRDefault="00CD1D0A">
            <w:pPr>
              <w:rPr>
                <w:b/>
                <w:color w:val="00B050"/>
              </w:rPr>
            </w:pPr>
            <w:r w:rsidRPr="002044EF">
              <w:rPr>
                <w:b/>
                <w:color w:val="00B050"/>
              </w:rPr>
              <w:t>JP</w:t>
            </w:r>
          </w:p>
        </w:tc>
        <w:tc>
          <w:tcPr>
            <w:tcW w:w="2100" w:type="dxa"/>
            <w:noWrap/>
            <w:hideMark/>
          </w:tcPr>
          <w:p w:rsidR="00CD1D0A" w:rsidRPr="002044EF" w:rsidRDefault="00CD1D0A">
            <w:pPr>
              <w:rPr>
                <w:b/>
                <w:color w:val="00B050"/>
              </w:rPr>
            </w:pPr>
          </w:p>
        </w:tc>
        <w:tc>
          <w:tcPr>
            <w:tcW w:w="960" w:type="dxa"/>
            <w:noWrap/>
            <w:hideMark/>
          </w:tcPr>
          <w:p w:rsidR="00CD1D0A" w:rsidRPr="002044EF" w:rsidRDefault="003122E1">
            <w:pPr>
              <w:rPr>
                <w:b/>
                <w:color w:val="00B050"/>
              </w:rPr>
            </w:pPr>
            <w:r w:rsidRPr="002044EF">
              <w:rPr>
                <w:b/>
                <w:color w:val="00B050"/>
              </w:rPr>
              <w:t>C</w:t>
            </w:r>
          </w:p>
        </w:tc>
      </w:tr>
      <w:tr w:rsidR="002D1A86" w:rsidRPr="002D1A86" w:rsidTr="00CD1D0A">
        <w:trPr>
          <w:trHeight w:val="600"/>
        </w:trPr>
        <w:tc>
          <w:tcPr>
            <w:tcW w:w="4360" w:type="dxa"/>
            <w:noWrap/>
            <w:hideMark/>
          </w:tcPr>
          <w:p w:rsidR="00CD1D0A" w:rsidRPr="002D1A86" w:rsidRDefault="00CD1D0A">
            <w:pPr>
              <w:rPr>
                <w:b/>
                <w:color w:val="00B050"/>
              </w:rPr>
            </w:pPr>
            <w:proofErr w:type="gramStart"/>
            <w:r w:rsidRPr="002D1A86">
              <w:rPr>
                <w:b/>
                <w:color w:val="00B050"/>
              </w:rPr>
              <w:t>support</w:t>
            </w:r>
            <w:proofErr w:type="gramEnd"/>
            <w:r w:rsidRPr="002D1A86">
              <w:rPr>
                <w:b/>
                <w:color w:val="00B050"/>
              </w:rPr>
              <w:t xml:space="preserve"> for Unified SLP?</w:t>
            </w:r>
          </w:p>
        </w:tc>
        <w:tc>
          <w:tcPr>
            <w:tcW w:w="7983" w:type="dxa"/>
            <w:hideMark/>
          </w:tcPr>
          <w:p w:rsidR="00CD1D0A" w:rsidRPr="002D1A86" w:rsidRDefault="00CD1D0A">
            <w:pPr>
              <w:rPr>
                <w:b/>
                <w:color w:val="00B050"/>
              </w:rPr>
            </w:pPr>
            <w:r w:rsidRPr="002D1A86">
              <w:rPr>
                <w:b/>
                <w:color w:val="00B050"/>
              </w:rPr>
              <w:t xml:space="preserve">Can the resulting FRs support USLP (possibly with some tweak, or do we need a separate Unified versions of the FRs? Note that </w:t>
            </w:r>
            <w:r w:rsidR="009313EE" w:rsidRPr="002D1A86">
              <w:rPr>
                <w:b/>
                <w:color w:val="00B050"/>
              </w:rPr>
              <w:t xml:space="preserve">theoretically </w:t>
            </w:r>
            <w:r w:rsidRPr="002D1A86">
              <w:rPr>
                <w:b/>
                <w:color w:val="00B050"/>
              </w:rPr>
              <w:t>USLP can be variable-</w:t>
            </w:r>
            <w:r w:rsidRPr="002D1A86">
              <w:rPr>
                <w:b/>
                <w:color w:val="00B050"/>
              </w:rPr>
              <w:lastRenderedPageBreak/>
              <w:t>length frames in either direction, which could seriously complicate including it in this FR</w:t>
            </w:r>
            <w:r w:rsidR="003122E1" w:rsidRPr="002D1A86">
              <w:rPr>
                <w:b/>
                <w:color w:val="00B050"/>
              </w:rPr>
              <w:t>.</w:t>
            </w:r>
          </w:p>
          <w:p w:rsidR="003122E1" w:rsidRPr="002D1A86" w:rsidRDefault="003122E1">
            <w:pPr>
              <w:rPr>
                <w:b/>
                <w:color w:val="00B050"/>
              </w:rPr>
            </w:pPr>
          </w:p>
          <w:p w:rsidR="003122E1" w:rsidRPr="002D1A86" w:rsidRDefault="003122E1" w:rsidP="002044EF">
            <w:pPr>
              <w:rPr>
                <w:b/>
                <w:color w:val="00B050"/>
              </w:rPr>
            </w:pPr>
            <w:r w:rsidRPr="002D1A86">
              <w:rPr>
                <w:b/>
                <w:color w:val="00B050"/>
              </w:rPr>
              <w:t xml:space="preserve">190812 WH – John’s latest FR type list not only has dedicated USLP FR types </w:t>
            </w:r>
            <w:proofErr w:type="gramStart"/>
            <w:r w:rsidRPr="002D1A86">
              <w:rPr>
                <w:b/>
                <w:color w:val="00B050"/>
              </w:rPr>
              <w:t>but</w:t>
            </w:r>
            <w:proofErr w:type="gramEnd"/>
            <w:r w:rsidRPr="002D1A86">
              <w:rPr>
                <w:b/>
                <w:color w:val="00B050"/>
              </w:rPr>
              <w:t xml:space="preserve"> even suggests to have separate FR types for TLM and AOS. Given that </w:t>
            </w:r>
            <w:r w:rsidR="004720AF" w:rsidRPr="002D1A86">
              <w:rPr>
                <w:b/>
                <w:color w:val="00B050"/>
              </w:rPr>
              <w:t xml:space="preserve">for the end of the year </w:t>
            </w:r>
            <w:r w:rsidR="002044EF" w:rsidRPr="002D1A86">
              <w:rPr>
                <w:b/>
                <w:color w:val="00B050"/>
              </w:rPr>
              <w:t xml:space="preserve">registry </w:t>
            </w:r>
            <w:r w:rsidR="004720AF" w:rsidRPr="002D1A86">
              <w:rPr>
                <w:b/>
                <w:color w:val="00B050"/>
              </w:rPr>
              <w:t xml:space="preserve">delivery we want to have the option to stay silent about USLP, I agree to have a dedicated USLP FR type for fixed length return frame. However, when looking at TLM and AOS, </w:t>
            </w:r>
            <w:r w:rsidRPr="002D1A86">
              <w:rPr>
                <w:b/>
                <w:color w:val="00B050"/>
              </w:rPr>
              <w:t xml:space="preserve">the only difference is the range of the </w:t>
            </w:r>
            <w:r w:rsidR="002044EF" w:rsidRPr="002D1A86">
              <w:rPr>
                <w:b/>
                <w:color w:val="00B050"/>
              </w:rPr>
              <w:t>V</w:t>
            </w:r>
            <w:r w:rsidRPr="002D1A86">
              <w:rPr>
                <w:b/>
                <w:color w:val="00B050"/>
              </w:rPr>
              <w:t>CID</w:t>
            </w:r>
            <w:r w:rsidR="004720AF" w:rsidRPr="002D1A86">
              <w:rPr>
                <w:b/>
                <w:color w:val="00B050"/>
              </w:rPr>
              <w:t xml:space="preserve">. Therefore having separate FR types for TLM and AOS might be overdone. For </w:t>
            </w:r>
            <w:proofErr w:type="gramStart"/>
            <w:r w:rsidR="004720AF" w:rsidRPr="002D1A86">
              <w:rPr>
                <w:b/>
                <w:color w:val="00B050"/>
              </w:rPr>
              <w:t>now</w:t>
            </w:r>
            <w:proofErr w:type="gramEnd"/>
            <w:r w:rsidR="004720AF" w:rsidRPr="002D1A86">
              <w:rPr>
                <w:b/>
                <w:color w:val="00B050"/>
              </w:rPr>
              <w:t xml:space="preserve"> I have specified the </w:t>
            </w:r>
            <w:r w:rsidRPr="002D1A86">
              <w:rPr>
                <w:b/>
                <w:color w:val="00B050"/>
              </w:rPr>
              <w:t>FR type such that it can handle both TLM and AOS frames.</w:t>
            </w:r>
          </w:p>
          <w:p w:rsidR="00225C72" w:rsidRPr="002D1A86" w:rsidRDefault="00225C72" w:rsidP="002044EF">
            <w:pPr>
              <w:rPr>
                <w:b/>
                <w:color w:val="00B050"/>
              </w:rPr>
            </w:pPr>
          </w:p>
          <w:p w:rsidR="00225C72" w:rsidRPr="002D1A86" w:rsidRDefault="00225C72" w:rsidP="002D1A86">
            <w:pPr>
              <w:rPr>
                <w:b/>
                <w:color w:val="00B050"/>
              </w:rPr>
            </w:pPr>
            <w:r w:rsidRPr="002D1A86">
              <w:rPr>
                <w:b/>
                <w:color w:val="00B050"/>
              </w:rPr>
              <w:t xml:space="preserve">191024 JP </w:t>
            </w:r>
            <w:r w:rsidR="002D1A86" w:rsidRPr="002D1A86">
              <w:rPr>
                <w:b/>
                <w:color w:val="00B050"/>
              </w:rPr>
              <w:t>–</w:t>
            </w:r>
            <w:r w:rsidRPr="002D1A86">
              <w:rPr>
                <w:b/>
                <w:color w:val="00B050"/>
              </w:rPr>
              <w:t xml:space="preserve"> </w:t>
            </w:r>
            <w:r w:rsidR="002D1A86" w:rsidRPr="002D1A86">
              <w:rPr>
                <w:b/>
                <w:color w:val="00B050"/>
              </w:rPr>
              <w:t>We agreed to have a combined TM/AOS SDLP Reception FR Set and a USLP Reception FR Set that supports both FLF and VLF USLP.</w:t>
            </w:r>
          </w:p>
        </w:tc>
        <w:tc>
          <w:tcPr>
            <w:tcW w:w="3860" w:type="dxa"/>
            <w:noWrap/>
            <w:hideMark/>
          </w:tcPr>
          <w:p w:rsidR="00CD1D0A" w:rsidRPr="002D1A86" w:rsidRDefault="00CD1D0A">
            <w:pPr>
              <w:rPr>
                <w:b/>
                <w:color w:val="00B050"/>
              </w:rPr>
            </w:pPr>
            <w:r w:rsidRPr="002D1A86">
              <w:rPr>
                <w:b/>
                <w:color w:val="00B050"/>
              </w:rPr>
              <w:lastRenderedPageBreak/>
              <w:t>JP</w:t>
            </w:r>
          </w:p>
        </w:tc>
        <w:tc>
          <w:tcPr>
            <w:tcW w:w="2100" w:type="dxa"/>
            <w:noWrap/>
            <w:hideMark/>
          </w:tcPr>
          <w:p w:rsidR="00CD1D0A" w:rsidRPr="002D1A86" w:rsidRDefault="002D1A86">
            <w:pPr>
              <w:rPr>
                <w:b/>
                <w:color w:val="00B050"/>
              </w:rPr>
            </w:pPr>
            <w:r w:rsidRPr="002D1A86">
              <w:rPr>
                <w:b/>
                <w:color w:val="00B050"/>
              </w:rPr>
              <w:t>CLSOED - 191024</w:t>
            </w:r>
          </w:p>
        </w:tc>
        <w:tc>
          <w:tcPr>
            <w:tcW w:w="960" w:type="dxa"/>
            <w:noWrap/>
            <w:hideMark/>
          </w:tcPr>
          <w:p w:rsidR="00CD1D0A" w:rsidRPr="002D1A86" w:rsidRDefault="002D1A86">
            <w:pPr>
              <w:rPr>
                <w:b/>
                <w:color w:val="00B050"/>
              </w:rPr>
            </w:pPr>
            <w:r w:rsidRPr="002D1A86">
              <w:rPr>
                <w:b/>
                <w:color w:val="00B050"/>
              </w:rPr>
              <w:t>C</w:t>
            </w:r>
          </w:p>
        </w:tc>
      </w:tr>
      <w:tr w:rsidR="008E7CB8" w:rsidRPr="002D1A86" w:rsidTr="00CD1D0A">
        <w:trPr>
          <w:trHeight w:val="600"/>
        </w:trPr>
        <w:tc>
          <w:tcPr>
            <w:tcW w:w="4360" w:type="dxa"/>
            <w:noWrap/>
          </w:tcPr>
          <w:p w:rsidR="008E7CB8" w:rsidRPr="008E7CB8" w:rsidRDefault="008E7CB8">
            <w:pPr>
              <w:rPr>
                <w:b/>
                <w:color w:val="FF0000"/>
              </w:rPr>
            </w:pPr>
            <w:r w:rsidRPr="008E7CB8">
              <w:rPr>
                <w:b/>
                <w:color w:val="FF0000"/>
              </w:rPr>
              <w:t xml:space="preserve">Change FR name/classifier to </w:t>
            </w:r>
            <w:proofErr w:type="spellStart"/>
            <w:r w:rsidRPr="008E7CB8">
              <w:rPr>
                <w:b/>
                <w:color w:val="FF0000"/>
              </w:rPr>
              <w:t>TmAosMcDemuxRcpt</w:t>
            </w:r>
            <w:proofErr w:type="spellEnd"/>
          </w:p>
        </w:tc>
        <w:tc>
          <w:tcPr>
            <w:tcW w:w="7983" w:type="dxa"/>
          </w:tcPr>
          <w:p w:rsidR="008E7CB8" w:rsidRPr="008E7CB8" w:rsidRDefault="008E7CB8" w:rsidP="008E7CB8">
            <w:pPr>
              <w:rPr>
                <w:b/>
                <w:color w:val="FF0000"/>
              </w:rPr>
            </w:pPr>
            <w:r w:rsidRPr="008E7CB8">
              <w:rPr>
                <w:b/>
                <w:color w:val="FF0000"/>
              </w:rPr>
              <w:t>Changed name reflects decisions to combine TM and AOS and to make this FR usable outside of an ESLT</w:t>
            </w:r>
          </w:p>
        </w:tc>
        <w:tc>
          <w:tcPr>
            <w:tcW w:w="3860" w:type="dxa"/>
            <w:noWrap/>
          </w:tcPr>
          <w:p w:rsidR="008E7CB8" w:rsidRPr="008E7CB8" w:rsidRDefault="008E7CB8">
            <w:pPr>
              <w:rPr>
                <w:b/>
                <w:color w:val="FF0000"/>
              </w:rPr>
            </w:pPr>
            <w:r w:rsidRPr="008E7CB8">
              <w:rPr>
                <w:b/>
                <w:color w:val="FF0000"/>
              </w:rPr>
              <w:t>JP - 191024</w:t>
            </w:r>
          </w:p>
        </w:tc>
        <w:tc>
          <w:tcPr>
            <w:tcW w:w="2100" w:type="dxa"/>
            <w:noWrap/>
          </w:tcPr>
          <w:p w:rsidR="008E7CB8" w:rsidRPr="008E7CB8" w:rsidRDefault="008E7CB8">
            <w:pPr>
              <w:rPr>
                <w:b/>
                <w:color w:val="FF0000"/>
              </w:rPr>
            </w:pPr>
          </w:p>
        </w:tc>
        <w:tc>
          <w:tcPr>
            <w:tcW w:w="960" w:type="dxa"/>
            <w:noWrap/>
          </w:tcPr>
          <w:p w:rsidR="008E7CB8" w:rsidRPr="008E7CB8" w:rsidRDefault="008E7CB8">
            <w:pPr>
              <w:rPr>
                <w:b/>
                <w:color w:val="FF0000"/>
              </w:rPr>
            </w:pPr>
            <w:r w:rsidRPr="008E7CB8">
              <w:rPr>
                <w:b/>
                <w:color w:val="FF0000"/>
              </w:rPr>
              <w:t>O</w:t>
            </w:r>
          </w:p>
        </w:tc>
      </w:tr>
    </w:tbl>
    <w:p w:rsidR="00CD1D0A" w:rsidRDefault="00CD1D0A" w:rsidP="00CF1563"/>
    <w:p w:rsidR="00CD1D0A" w:rsidRDefault="00CD1D0A" w:rsidP="00CF1563"/>
    <w:p w:rsidR="00F97AFB" w:rsidRPr="00F97AFB" w:rsidRDefault="00F97AFB" w:rsidP="00F97AFB">
      <w:pPr>
        <w:tabs>
          <w:tab w:val="left" w:pos="5445"/>
        </w:tabs>
      </w:pPr>
      <w:r>
        <w:tab/>
      </w:r>
    </w:p>
    <w:sectPr w:rsidR="00F97AFB" w:rsidRPr="00F97AFB" w:rsidSect="00497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89" w:rsidRDefault="00C07B89" w:rsidP="004971B1">
      <w:pPr>
        <w:spacing w:after="0" w:line="240" w:lineRule="auto"/>
      </w:pPr>
      <w:r>
        <w:separator/>
      </w:r>
    </w:p>
  </w:endnote>
  <w:endnote w:type="continuationSeparator" w:id="0">
    <w:p w:rsidR="00C07B89" w:rsidRDefault="00C07B89" w:rsidP="0049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95" w:rsidRDefault="006A3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680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1B1" w:rsidRDefault="004971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6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71B1" w:rsidRDefault="00497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95" w:rsidRDefault="006A3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89" w:rsidRDefault="00C07B89" w:rsidP="004971B1">
      <w:pPr>
        <w:spacing w:after="0" w:line="240" w:lineRule="auto"/>
      </w:pPr>
      <w:r>
        <w:separator/>
      </w:r>
    </w:p>
  </w:footnote>
  <w:footnote w:type="continuationSeparator" w:id="0">
    <w:p w:rsidR="00C07B89" w:rsidRDefault="00C07B89" w:rsidP="0049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95" w:rsidRDefault="006A3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B1" w:rsidRDefault="002D1A86" w:rsidP="00AF2176">
    <w:pPr>
      <w:pStyle w:val="Header"/>
      <w:tabs>
        <w:tab w:val="clear" w:pos="4680"/>
        <w:tab w:val="clear" w:pos="9360"/>
        <w:tab w:val="center" w:pos="6480"/>
        <w:tab w:val="right" w:pos="12780"/>
      </w:tabs>
    </w:pPr>
    <w:proofErr w:type="spellStart"/>
    <w:r>
      <w:rPr>
        <w:b/>
        <w:bCs/>
      </w:rPr>
      <w:t>TmAos</w:t>
    </w:r>
    <w:r w:rsidR="00CD1D0A">
      <w:rPr>
        <w:b/>
        <w:bCs/>
      </w:rPr>
      <w:t>M</w:t>
    </w:r>
    <w:r w:rsidR="008E7CB8">
      <w:rPr>
        <w:b/>
        <w:bCs/>
      </w:rPr>
      <w:t>c</w:t>
    </w:r>
    <w:r w:rsidR="00CD1D0A">
      <w:rPr>
        <w:b/>
        <w:bCs/>
      </w:rPr>
      <w:t>DemuxR</w:t>
    </w:r>
    <w:r>
      <w:rPr>
        <w:b/>
        <w:bCs/>
      </w:rPr>
      <w:t>cpt</w:t>
    </w:r>
    <w:proofErr w:type="spellEnd"/>
    <w:r w:rsidR="00AF2176">
      <w:rPr>
        <w:b/>
        <w:bCs/>
      </w:rPr>
      <w:tab/>
    </w:r>
    <w:bookmarkStart w:id="0" w:name="_GoBack"/>
    <w:bookmarkEnd w:id="0"/>
    <w:r w:rsidR="00AF2176">
      <w:rPr>
        <w:b/>
        <w:bCs/>
      </w:rPr>
      <w:tab/>
    </w:r>
    <w:r w:rsidR="00AF2176">
      <w:rPr>
        <w:b/>
        <w:bCs/>
      </w:rPr>
      <w:fldChar w:fldCharType="begin"/>
    </w:r>
    <w:r w:rsidR="00AF2176">
      <w:rPr>
        <w:b/>
        <w:bCs/>
      </w:rPr>
      <w:instrText xml:space="preserve"> FILENAME   \* MERGEFORMAT </w:instrText>
    </w:r>
    <w:r w:rsidR="00AF2176">
      <w:rPr>
        <w:b/>
        <w:bCs/>
      </w:rPr>
      <w:fldChar w:fldCharType="separate"/>
    </w:r>
    <w:r w:rsidR="006A3695">
      <w:rPr>
        <w:b/>
        <w:bCs/>
        <w:noProof/>
      </w:rPr>
      <w:t>TmAosMcDemuxRcpt-191024-JP.docx</w:t>
    </w:r>
    <w:r w:rsidR="00AF2176">
      <w:rPr>
        <w:b/>
        <w:bCs/>
      </w:rPr>
      <w:fldChar w:fldCharType="end"/>
    </w:r>
  </w:p>
  <w:p w:rsidR="004971B1" w:rsidRDefault="00497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95" w:rsidRDefault="006A3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B1"/>
    <w:rsid w:val="00081A62"/>
    <w:rsid w:val="00083A49"/>
    <w:rsid w:val="000948FB"/>
    <w:rsid w:val="000D30E5"/>
    <w:rsid w:val="001346B6"/>
    <w:rsid w:val="00153C47"/>
    <w:rsid w:val="001802C5"/>
    <w:rsid w:val="001E72E6"/>
    <w:rsid w:val="002044EF"/>
    <w:rsid w:val="00222B80"/>
    <w:rsid w:val="00224894"/>
    <w:rsid w:val="00225A0D"/>
    <w:rsid w:val="00225C72"/>
    <w:rsid w:val="00256017"/>
    <w:rsid w:val="00276948"/>
    <w:rsid w:val="002A76FB"/>
    <w:rsid w:val="002D1A86"/>
    <w:rsid w:val="002D6578"/>
    <w:rsid w:val="003122E1"/>
    <w:rsid w:val="00371E7A"/>
    <w:rsid w:val="004126BD"/>
    <w:rsid w:val="0043323E"/>
    <w:rsid w:val="004720AF"/>
    <w:rsid w:val="004805C8"/>
    <w:rsid w:val="004971B1"/>
    <w:rsid w:val="004C6AFD"/>
    <w:rsid w:val="004D1D23"/>
    <w:rsid w:val="004D61E5"/>
    <w:rsid w:val="005201BB"/>
    <w:rsid w:val="006053CD"/>
    <w:rsid w:val="00682063"/>
    <w:rsid w:val="006A3695"/>
    <w:rsid w:val="006D0EA1"/>
    <w:rsid w:val="006D13FA"/>
    <w:rsid w:val="006F2CC0"/>
    <w:rsid w:val="007E31E8"/>
    <w:rsid w:val="008227E1"/>
    <w:rsid w:val="008A3F59"/>
    <w:rsid w:val="008A44C2"/>
    <w:rsid w:val="008E7CB8"/>
    <w:rsid w:val="009017B4"/>
    <w:rsid w:val="009313EE"/>
    <w:rsid w:val="00946C25"/>
    <w:rsid w:val="00AF2176"/>
    <w:rsid w:val="00B32856"/>
    <w:rsid w:val="00BE4CE2"/>
    <w:rsid w:val="00C07B89"/>
    <w:rsid w:val="00C54FE8"/>
    <w:rsid w:val="00CD1D0A"/>
    <w:rsid w:val="00CE3269"/>
    <w:rsid w:val="00CE6434"/>
    <w:rsid w:val="00CF1563"/>
    <w:rsid w:val="00D67017"/>
    <w:rsid w:val="00D70458"/>
    <w:rsid w:val="00D735FD"/>
    <w:rsid w:val="00DF53E8"/>
    <w:rsid w:val="00EA359A"/>
    <w:rsid w:val="00F357DF"/>
    <w:rsid w:val="00F97AFB"/>
    <w:rsid w:val="00FB7031"/>
    <w:rsid w:val="00FC0CF6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83476-131A-4AD4-BF58-00ECB8B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B1"/>
  </w:style>
  <w:style w:type="paragraph" w:styleId="Footer">
    <w:name w:val="footer"/>
    <w:basedOn w:val="Normal"/>
    <w:link w:val="FooterChar"/>
    <w:uiPriority w:val="99"/>
    <w:unhideWhenUsed/>
    <w:rsid w:val="0049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Pietras</dc:creator>
  <cp:keywords/>
  <dc:description/>
  <cp:lastModifiedBy>John Pietras</cp:lastModifiedBy>
  <cp:revision>5</cp:revision>
  <dcterms:created xsi:type="dcterms:W3CDTF">2019-11-04T17:09:00Z</dcterms:created>
  <dcterms:modified xsi:type="dcterms:W3CDTF">2019-11-04T17:13:00Z</dcterms:modified>
</cp:coreProperties>
</file>