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5480"/>
        <w:gridCol w:w="2786"/>
        <w:gridCol w:w="1545"/>
      </w:tblGrid>
      <w:tr w:rsidR="00B24D69" w:rsidRPr="00B24D69" w:rsidTr="00B24D69">
        <w:trPr>
          <w:trHeight w:val="300"/>
        </w:trPr>
        <w:tc>
          <w:tcPr>
            <w:tcW w:w="4360" w:type="dxa"/>
            <w:noWrap/>
            <w:hideMark/>
          </w:tcPr>
          <w:p w:rsidR="00B24D69" w:rsidRPr="00B24D69" w:rsidRDefault="001E5B99" w:rsidP="001E5B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Tracking Data </w:t>
            </w:r>
            <w:r w:rsidR="00B24D69" w:rsidRPr="00B24D69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STS </w:t>
            </w:r>
            <w:r w:rsidR="00B24D69" w:rsidRPr="00B24D69">
              <w:rPr>
                <w:b/>
                <w:bCs/>
              </w:rPr>
              <w:t>Provider</w:t>
            </w:r>
          </w:p>
        </w:tc>
        <w:tc>
          <w:tcPr>
            <w:tcW w:w="7680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>Creator = CSTSWG</w:t>
            </w:r>
          </w:p>
        </w:tc>
        <w:tc>
          <w:tcPr>
            <w:tcW w:w="3860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>Editor = John</w:t>
            </w:r>
          </w:p>
        </w:tc>
        <w:tc>
          <w:tcPr>
            <w:tcW w:w="2100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 xml:space="preserve">Reviewer </w:t>
            </w:r>
            <w:proofErr w:type="gramStart"/>
            <w:r w:rsidRPr="00B24D69">
              <w:rPr>
                <w:b/>
                <w:bCs/>
              </w:rPr>
              <w:t>= ??</w:t>
            </w:r>
            <w:proofErr w:type="gramEnd"/>
          </w:p>
        </w:tc>
      </w:tr>
      <w:tr w:rsidR="00B24D69" w:rsidRPr="00B24D69" w:rsidTr="00B24D69">
        <w:trPr>
          <w:trHeight w:val="300"/>
        </w:trPr>
        <w:tc>
          <w:tcPr>
            <w:tcW w:w="18000" w:type="dxa"/>
            <w:gridSpan w:val="4"/>
            <w:noWrap/>
            <w:hideMark/>
          </w:tcPr>
          <w:p w:rsidR="00B24D69" w:rsidRPr="00B24D69" w:rsidRDefault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 xml:space="preserve">Status: </w:t>
            </w:r>
            <w:r w:rsidR="003940A0">
              <w:rPr>
                <w:b/>
                <w:bCs/>
              </w:rPr>
              <w:t xml:space="preserve">20191024.  </w:t>
            </w:r>
            <w:r w:rsidRPr="00B24D69">
              <w:rPr>
                <w:b/>
                <w:bCs/>
              </w:rPr>
              <w:t>candidate set of parameters defined in Functional Resource Refer</w:t>
            </w:r>
            <w:r>
              <w:rPr>
                <w:b/>
                <w:bCs/>
              </w:rPr>
              <w:t>e</w:t>
            </w:r>
            <w:r w:rsidRPr="00B24D69">
              <w:rPr>
                <w:b/>
                <w:bCs/>
              </w:rPr>
              <w:t xml:space="preserve">nce Model TN-0.14 (July 2018) needs to </w:t>
            </w:r>
            <w:r>
              <w:rPr>
                <w:b/>
                <w:bCs/>
              </w:rPr>
              <w:t xml:space="preserve">be reviewed and added to SANA </w:t>
            </w:r>
            <w:proofErr w:type="spellStart"/>
            <w:r>
              <w:rPr>
                <w:b/>
                <w:bCs/>
              </w:rPr>
              <w:t>R</w:t>
            </w:r>
            <w:r w:rsidRPr="00B24D69">
              <w:rPr>
                <w:b/>
                <w:bCs/>
              </w:rPr>
              <w:t>sgistry</w:t>
            </w:r>
            <w:proofErr w:type="spellEnd"/>
          </w:p>
        </w:tc>
      </w:tr>
    </w:tbl>
    <w:p w:rsidR="0032136C" w:rsidRDefault="0032136C" w:rsidP="00CF156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171"/>
        <w:gridCol w:w="2635"/>
        <w:gridCol w:w="1467"/>
        <w:gridCol w:w="710"/>
      </w:tblGrid>
      <w:tr w:rsidR="00B24D69" w:rsidRPr="00B24D69" w:rsidTr="003940A0">
        <w:trPr>
          <w:trHeight w:val="300"/>
        </w:trPr>
        <w:tc>
          <w:tcPr>
            <w:tcW w:w="2967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>Issue Short Title</w:t>
            </w:r>
          </w:p>
        </w:tc>
        <w:tc>
          <w:tcPr>
            <w:tcW w:w="5171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>Issue Description/Discussion</w:t>
            </w:r>
          </w:p>
        </w:tc>
        <w:tc>
          <w:tcPr>
            <w:tcW w:w="2635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>Source</w:t>
            </w:r>
          </w:p>
        </w:tc>
        <w:tc>
          <w:tcPr>
            <w:tcW w:w="1467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>Status</w:t>
            </w:r>
          </w:p>
        </w:tc>
        <w:tc>
          <w:tcPr>
            <w:tcW w:w="710" w:type="dxa"/>
            <w:noWrap/>
            <w:hideMark/>
          </w:tcPr>
          <w:p w:rsidR="00B24D69" w:rsidRPr="00B24D69" w:rsidRDefault="00B24D69" w:rsidP="00B24D69">
            <w:pPr>
              <w:rPr>
                <w:b/>
                <w:bCs/>
              </w:rPr>
            </w:pPr>
            <w:r w:rsidRPr="00B24D69">
              <w:rPr>
                <w:b/>
                <w:bCs/>
              </w:rPr>
              <w:t>O/C</w:t>
            </w:r>
          </w:p>
        </w:tc>
      </w:tr>
      <w:tr w:rsidR="00B24D69" w:rsidRPr="00B24D69" w:rsidTr="003940A0">
        <w:trPr>
          <w:trHeight w:val="300"/>
        </w:trPr>
        <w:tc>
          <w:tcPr>
            <w:tcW w:w="2967" w:type="dxa"/>
            <w:noWrap/>
            <w:hideMark/>
          </w:tcPr>
          <w:p w:rsidR="00B24D69" w:rsidRPr="003940A0" w:rsidRDefault="00B24D69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t>Tracking Data CSTS Provider</w:t>
            </w:r>
          </w:p>
        </w:tc>
        <w:tc>
          <w:tcPr>
            <w:tcW w:w="5171" w:type="dxa"/>
            <w:noWrap/>
            <w:hideMark/>
          </w:tcPr>
          <w:p w:rsidR="00B24D69" w:rsidRDefault="00B24D69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t>The FR is called "Tracking Data CSTS Provider" in the FRRM TN</w:t>
            </w:r>
            <w:r w:rsidR="001E5B99" w:rsidRPr="003940A0">
              <w:rPr>
                <w:b/>
                <w:bCs/>
                <w:color w:val="00B050"/>
              </w:rPr>
              <w:t xml:space="preserve"> (no “Real Time”</w:t>
            </w:r>
          </w:p>
          <w:p w:rsidR="003940A0" w:rsidRDefault="003940A0">
            <w:pPr>
              <w:rPr>
                <w:b/>
                <w:bCs/>
                <w:color w:val="00B050"/>
              </w:rPr>
            </w:pPr>
          </w:p>
          <w:p w:rsidR="003940A0" w:rsidRPr="003940A0" w:rsidRDefault="003940A0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JP – this </w:t>
            </w:r>
            <w:proofErr w:type="gramStart"/>
            <w:r>
              <w:rPr>
                <w:b/>
                <w:bCs/>
                <w:color w:val="00B050"/>
              </w:rPr>
              <w:t>has been fixed</w:t>
            </w:r>
            <w:proofErr w:type="gramEnd"/>
            <w:r>
              <w:rPr>
                <w:b/>
                <w:bCs/>
                <w:color w:val="00B050"/>
              </w:rPr>
              <w:t>.</w:t>
            </w:r>
          </w:p>
        </w:tc>
        <w:tc>
          <w:tcPr>
            <w:tcW w:w="2635" w:type="dxa"/>
            <w:noWrap/>
            <w:hideMark/>
          </w:tcPr>
          <w:p w:rsidR="00B24D69" w:rsidRPr="003940A0" w:rsidRDefault="00B24D69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t>JVP</w:t>
            </w:r>
          </w:p>
        </w:tc>
        <w:tc>
          <w:tcPr>
            <w:tcW w:w="1467" w:type="dxa"/>
            <w:noWrap/>
            <w:hideMark/>
          </w:tcPr>
          <w:p w:rsidR="00B24D69" w:rsidRPr="003940A0" w:rsidRDefault="003940A0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t>CLOSED</w:t>
            </w:r>
          </w:p>
        </w:tc>
        <w:tc>
          <w:tcPr>
            <w:tcW w:w="710" w:type="dxa"/>
            <w:noWrap/>
            <w:hideMark/>
          </w:tcPr>
          <w:p w:rsidR="00B24D69" w:rsidRPr="003940A0" w:rsidRDefault="003940A0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t>C</w:t>
            </w:r>
          </w:p>
        </w:tc>
      </w:tr>
      <w:tr w:rsidR="003940A0" w:rsidRPr="00B24D69" w:rsidTr="003940A0">
        <w:trPr>
          <w:trHeight w:val="1200"/>
        </w:trPr>
        <w:tc>
          <w:tcPr>
            <w:tcW w:w="2967" w:type="dxa"/>
            <w:noWrap/>
            <w:hideMark/>
          </w:tcPr>
          <w:p w:rsidR="003940A0" w:rsidRPr="003940A0" w:rsidRDefault="003940A0" w:rsidP="003940A0">
            <w:pPr>
              <w:rPr>
                <w:b/>
                <w:bCs/>
                <w:color w:val="00B050"/>
              </w:rPr>
            </w:pPr>
            <w:proofErr w:type="gramStart"/>
            <w:r w:rsidRPr="003940A0">
              <w:rPr>
                <w:b/>
                <w:bCs/>
                <w:color w:val="00B050"/>
              </w:rPr>
              <w:t>network</w:t>
            </w:r>
            <w:proofErr w:type="gramEnd"/>
            <w:r w:rsidRPr="003940A0">
              <w:rPr>
                <w:b/>
                <w:bCs/>
                <w:color w:val="00B050"/>
              </w:rPr>
              <w:t xml:space="preserve"> and ISP-1 parameters?</w:t>
            </w:r>
          </w:p>
        </w:tc>
        <w:tc>
          <w:tcPr>
            <w:tcW w:w="5171" w:type="dxa"/>
            <w:hideMark/>
          </w:tcPr>
          <w:p w:rsidR="003940A0" w:rsidRPr="003940A0" w:rsidRDefault="003940A0" w:rsidP="003940A0">
            <w:pPr>
              <w:rPr>
                <w:b/>
                <w:color w:val="00B050"/>
              </w:rPr>
            </w:pPr>
            <w:r w:rsidRPr="003940A0">
              <w:rPr>
                <w:b/>
                <w:color w:val="00B050"/>
              </w:rPr>
              <w:t xml:space="preserve">To complete the full communication profile, IP addresses, </w:t>
            </w:r>
            <w:proofErr w:type="gramStart"/>
            <w:r w:rsidRPr="003940A0">
              <w:rPr>
                <w:b/>
                <w:color w:val="00B050"/>
              </w:rPr>
              <w:t>ports ,</w:t>
            </w:r>
            <w:proofErr w:type="gramEnd"/>
            <w:r w:rsidRPr="003940A0">
              <w:rPr>
                <w:b/>
                <w:color w:val="00B050"/>
              </w:rPr>
              <w:t xml:space="preserve"> and ISP-1 parameters must be configured. </w:t>
            </w:r>
            <w:proofErr w:type="gramStart"/>
            <w:r w:rsidRPr="003940A0">
              <w:rPr>
                <w:b/>
                <w:color w:val="00B050"/>
              </w:rPr>
              <w:t>Should these be added</w:t>
            </w:r>
            <w:proofErr w:type="gramEnd"/>
            <w:r w:rsidRPr="003940A0">
              <w:rPr>
                <w:b/>
                <w:color w:val="00B050"/>
              </w:rPr>
              <w:t xml:space="preserve"> to the FR configuration parameters? If not here, how should this be addressed (e.g., as a separate, protocol-specific "connection" FR type)?</w:t>
            </w:r>
          </w:p>
          <w:p w:rsidR="003940A0" w:rsidRPr="003940A0" w:rsidRDefault="003940A0" w:rsidP="003940A0">
            <w:pPr>
              <w:rPr>
                <w:b/>
                <w:color w:val="00B050"/>
              </w:rPr>
            </w:pPr>
          </w:p>
          <w:p w:rsidR="003940A0" w:rsidRPr="003940A0" w:rsidRDefault="003940A0" w:rsidP="003940A0">
            <w:pPr>
              <w:rPr>
                <w:b/>
                <w:color w:val="00B050"/>
              </w:rPr>
            </w:pPr>
            <w:r w:rsidRPr="003940A0">
              <w:rPr>
                <w:b/>
                <w:color w:val="00B050"/>
              </w:rPr>
              <w:t xml:space="preserve">190807 WH – The parameters addressed here are certainly required to make establishing of an association between user and provider possible. However, parameters such as IP addresses, encryption keys etc. </w:t>
            </w:r>
            <w:proofErr w:type="gramStart"/>
            <w:r w:rsidRPr="003940A0">
              <w:rPr>
                <w:b/>
                <w:color w:val="00B050"/>
              </w:rPr>
              <w:t>are handled</w:t>
            </w:r>
            <w:proofErr w:type="gramEnd"/>
            <w:r w:rsidRPr="003940A0">
              <w:rPr>
                <w:b/>
                <w:color w:val="00B050"/>
              </w:rPr>
              <w:t xml:space="preserve"> normally with the policy that they are only disclosed to those who absolutely need to know and not to anybody else. </w:t>
            </w:r>
            <w:proofErr w:type="gramStart"/>
            <w:r w:rsidRPr="003940A0">
              <w:rPr>
                <w:b/>
                <w:color w:val="00B050"/>
              </w:rPr>
              <w:t>For certain it</w:t>
            </w:r>
            <w:proofErr w:type="gramEnd"/>
            <w:r w:rsidRPr="003940A0">
              <w:rPr>
                <w:b/>
                <w:color w:val="00B050"/>
              </w:rPr>
              <w:t xml:space="preserve"> would not be accepted that such security relevant parameters be exchanged via the FR parameter mechanism. I would expect the relevant data </w:t>
            </w:r>
            <w:proofErr w:type="gramStart"/>
            <w:r w:rsidRPr="003940A0">
              <w:rPr>
                <w:b/>
                <w:color w:val="00B050"/>
              </w:rPr>
              <w:t>be exchanged</w:t>
            </w:r>
            <w:proofErr w:type="gramEnd"/>
            <w:r w:rsidRPr="003940A0">
              <w:rPr>
                <w:b/>
                <w:color w:val="00B050"/>
              </w:rPr>
              <w:t xml:space="preserve"> via a secure file exchange mechanism where the relevant file is identified by the service instance identifier. Given </w:t>
            </w:r>
            <w:proofErr w:type="gramStart"/>
            <w:r w:rsidRPr="003940A0">
              <w:rPr>
                <w:b/>
                <w:color w:val="00B050"/>
              </w:rPr>
              <w:t>that</w:t>
            </w:r>
            <w:proofErr w:type="gramEnd"/>
            <w:r w:rsidRPr="003940A0">
              <w:rPr>
                <w:b/>
                <w:color w:val="00B050"/>
              </w:rPr>
              <w:t xml:space="preserve"> I suggest to close this item here, but to address in the FR TN the fact that the parties need to agree on a secure exchange mechanism for handling of these service instance specific parameters. In the </w:t>
            </w:r>
            <w:proofErr w:type="gramStart"/>
            <w:r w:rsidRPr="003940A0">
              <w:rPr>
                <w:b/>
                <w:color w:val="00B050"/>
              </w:rPr>
              <w:t>TN</w:t>
            </w:r>
            <w:proofErr w:type="gramEnd"/>
            <w:r w:rsidRPr="003940A0">
              <w:rPr>
                <w:b/>
                <w:color w:val="00B050"/>
              </w:rPr>
              <w:t xml:space="preserve"> we could then </w:t>
            </w:r>
            <w:r w:rsidRPr="003940A0">
              <w:rPr>
                <w:b/>
                <w:color w:val="00B050"/>
              </w:rPr>
              <w:lastRenderedPageBreak/>
              <w:t xml:space="preserve">list these parameters, but I doubt that CCSDS should get involved in defining a related file format. </w:t>
            </w:r>
          </w:p>
          <w:p w:rsidR="003940A0" w:rsidRPr="003940A0" w:rsidRDefault="003940A0" w:rsidP="003940A0">
            <w:pPr>
              <w:rPr>
                <w:b/>
                <w:color w:val="00B050"/>
              </w:rPr>
            </w:pPr>
          </w:p>
          <w:p w:rsidR="003940A0" w:rsidRPr="003940A0" w:rsidRDefault="003940A0" w:rsidP="003940A0">
            <w:pPr>
              <w:rPr>
                <w:b/>
                <w:color w:val="00B050"/>
              </w:rPr>
            </w:pPr>
            <w:r w:rsidRPr="003940A0">
              <w:rPr>
                <w:b/>
                <w:color w:val="00B050"/>
              </w:rPr>
              <w:t>191024 JP – We agreed that network, ISP-1, and transfer-service identification information (</w:t>
            </w:r>
            <w:proofErr w:type="spellStart"/>
            <w:r w:rsidRPr="003940A0">
              <w:rPr>
                <w:b/>
                <w:color w:val="00B050"/>
              </w:rPr>
              <w:t>initiatorId</w:t>
            </w:r>
            <w:proofErr w:type="spellEnd"/>
            <w:r w:rsidRPr="003940A0">
              <w:rPr>
                <w:b/>
                <w:color w:val="00B050"/>
              </w:rPr>
              <w:t xml:space="preserve">, </w:t>
            </w:r>
            <w:proofErr w:type="spellStart"/>
            <w:r w:rsidRPr="003940A0">
              <w:rPr>
                <w:b/>
                <w:color w:val="00B050"/>
              </w:rPr>
              <w:t>responderId</w:t>
            </w:r>
            <w:proofErr w:type="spellEnd"/>
            <w:r w:rsidRPr="003940A0">
              <w:rPr>
                <w:b/>
                <w:color w:val="00B050"/>
              </w:rPr>
              <w:t xml:space="preserve">, and </w:t>
            </w:r>
            <w:proofErr w:type="spellStart"/>
            <w:r w:rsidRPr="003940A0">
              <w:rPr>
                <w:b/>
                <w:color w:val="00B050"/>
              </w:rPr>
              <w:t>responderPortId</w:t>
            </w:r>
            <w:proofErr w:type="spellEnd"/>
            <w:r w:rsidRPr="003940A0">
              <w:rPr>
                <w:b/>
                <w:color w:val="00B050"/>
              </w:rPr>
              <w:t xml:space="preserve">) would be maintained via some “other” mechanism and not be accessible via the </w:t>
            </w:r>
            <w:proofErr w:type="spellStart"/>
            <w:r w:rsidRPr="003940A0">
              <w:rPr>
                <w:b/>
                <w:color w:val="00B050"/>
              </w:rPr>
              <w:t>FRs.</w:t>
            </w:r>
            <w:proofErr w:type="spellEnd"/>
            <w:r w:rsidRPr="003940A0">
              <w:rPr>
                <w:b/>
                <w:color w:val="00B050"/>
              </w:rPr>
              <w:t xml:space="preserve"> However, the </w:t>
            </w:r>
            <w:proofErr w:type="spellStart"/>
            <w:r w:rsidRPr="003940A0">
              <w:rPr>
                <w:b/>
                <w:color w:val="00B050"/>
              </w:rPr>
              <w:t>serviceInstanceId</w:t>
            </w:r>
            <w:proofErr w:type="spellEnd"/>
            <w:r w:rsidRPr="003940A0">
              <w:rPr>
                <w:b/>
                <w:color w:val="00B050"/>
              </w:rPr>
              <w:t xml:space="preserve"> parameter </w:t>
            </w:r>
            <w:r w:rsidRPr="003940A0">
              <w:rPr>
                <w:b/>
                <w:color w:val="00B050"/>
                <w:u w:val="single"/>
              </w:rPr>
              <w:t>is</w:t>
            </w:r>
            <w:r w:rsidRPr="003940A0">
              <w:rPr>
                <w:b/>
                <w:color w:val="00B050"/>
              </w:rPr>
              <w:t xml:space="preserve"> a configured parameter of the FR instance, and services the “key” into the “other” database that contains the aforementioned network, ISP-1, and transfer-service identification information. This concept needs to </w:t>
            </w:r>
            <w:proofErr w:type="gramStart"/>
            <w:r w:rsidRPr="003940A0">
              <w:rPr>
                <w:b/>
                <w:color w:val="00B050"/>
              </w:rPr>
              <w:t>be addressed</w:t>
            </w:r>
            <w:proofErr w:type="gramEnd"/>
            <w:r w:rsidRPr="003940A0">
              <w:rPr>
                <w:b/>
                <w:color w:val="00B050"/>
              </w:rPr>
              <w:t xml:space="preserve"> in the FR Reference Model MB.</w:t>
            </w:r>
          </w:p>
        </w:tc>
        <w:tc>
          <w:tcPr>
            <w:tcW w:w="2635" w:type="dxa"/>
            <w:noWrap/>
            <w:hideMark/>
          </w:tcPr>
          <w:p w:rsidR="003940A0" w:rsidRPr="003940A0" w:rsidRDefault="003940A0" w:rsidP="003940A0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lastRenderedPageBreak/>
              <w:t>JP</w:t>
            </w:r>
            <w:bookmarkStart w:id="0" w:name="_GoBack"/>
            <w:bookmarkEnd w:id="0"/>
          </w:p>
        </w:tc>
        <w:tc>
          <w:tcPr>
            <w:tcW w:w="1467" w:type="dxa"/>
            <w:noWrap/>
            <w:hideMark/>
          </w:tcPr>
          <w:p w:rsidR="003940A0" w:rsidRPr="003940A0" w:rsidRDefault="003940A0" w:rsidP="003940A0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t>CLOSED - 191024</w:t>
            </w:r>
          </w:p>
        </w:tc>
        <w:tc>
          <w:tcPr>
            <w:tcW w:w="710" w:type="dxa"/>
            <w:noWrap/>
            <w:hideMark/>
          </w:tcPr>
          <w:p w:rsidR="003940A0" w:rsidRPr="003940A0" w:rsidRDefault="003940A0" w:rsidP="003940A0">
            <w:pPr>
              <w:rPr>
                <w:b/>
                <w:bCs/>
                <w:color w:val="00B050"/>
              </w:rPr>
            </w:pPr>
            <w:r w:rsidRPr="003940A0">
              <w:rPr>
                <w:b/>
                <w:bCs/>
                <w:color w:val="00B050"/>
              </w:rPr>
              <w:t>C</w:t>
            </w:r>
          </w:p>
        </w:tc>
      </w:tr>
    </w:tbl>
    <w:p w:rsidR="00B24D69" w:rsidRDefault="00B24D69" w:rsidP="00CF1563">
      <w:pPr>
        <w:rPr>
          <w:b/>
          <w:bCs/>
        </w:rPr>
      </w:pPr>
    </w:p>
    <w:p w:rsidR="00B24D69" w:rsidRDefault="00B24D69" w:rsidP="00CF1563"/>
    <w:p w:rsidR="00B01ACE" w:rsidRDefault="00B01ACE" w:rsidP="00CF1563"/>
    <w:p w:rsidR="00F97AFB" w:rsidRPr="00F97AFB" w:rsidRDefault="00F97AFB" w:rsidP="00F97AFB">
      <w:pPr>
        <w:tabs>
          <w:tab w:val="left" w:pos="5445"/>
        </w:tabs>
      </w:pPr>
      <w:r>
        <w:tab/>
      </w:r>
    </w:p>
    <w:sectPr w:rsidR="00F97AFB" w:rsidRPr="00F97AFB" w:rsidSect="004971B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BF" w:rsidRDefault="00FF69BF" w:rsidP="004971B1">
      <w:pPr>
        <w:spacing w:after="0" w:line="240" w:lineRule="auto"/>
      </w:pPr>
      <w:r>
        <w:separator/>
      </w:r>
    </w:p>
  </w:endnote>
  <w:endnote w:type="continuationSeparator" w:id="0">
    <w:p w:rsidR="00FF69BF" w:rsidRDefault="00FF69BF" w:rsidP="0049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8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1B1" w:rsidRDefault="0049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1B1" w:rsidRDefault="00497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BF" w:rsidRDefault="00FF69BF" w:rsidP="004971B1">
      <w:pPr>
        <w:spacing w:after="0" w:line="240" w:lineRule="auto"/>
      </w:pPr>
      <w:r>
        <w:separator/>
      </w:r>
    </w:p>
  </w:footnote>
  <w:footnote w:type="continuationSeparator" w:id="0">
    <w:p w:rsidR="00FF69BF" w:rsidRDefault="00FF69BF" w:rsidP="0049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B1" w:rsidRDefault="001E5B99" w:rsidP="00AF2176">
    <w:pPr>
      <w:pStyle w:val="Header"/>
      <w:tabs>
        <w:tab w:val="clear" w:pos="4680"/>
        <w:tab w:val="clear" w:pos="9360"/>
        <w:tab w:val="center" w:pos="6480"/>
        <w:tab w:val="right" w:pos="12780"/>
      </w:tabs>
    </w:pPr>
    <w:proofErr w:type="spellStart"/>
    <w:r>
      <w:rPr>
        <w:b/>
        <w:bCs/>
      </w:rPr>
      <w:t>TdCsts</w:t>
    </w:r>
    <w:r w:rsidR="00B24D69">
      <w:rPr>
        <w:b/>
        <w:bCs/>
      </w:rPr>
      <w:t>Provider</w:t>
    </w:r>
    <w:proofErr w:type="spellEnd"/>
    <w:r w:rsidR="00AF2176">
      <w:rPr>
        <w:b/>
        <w:bCs/>
      </w:rPr>
      <w:tab/>
    </w:r>
    <w:r w:rsidR="00AF2176">
      <w:rPr>
        <w:b/>
        <w:bCs/>
      </w:rPr>
      <w:tab/>
    </w:r>
    <w:r w:rsidR="00AF2176">
      <w:rPr>
        <w:b/>
        <w:bCs/>
      </w:rPr>
      <w:fldChar w:fldCharType="begin"/>
    </w:r>
    <w:r w:rsidR="00AF2176">
      <w:rPr>
        <w:b/>
        <w:bCs/>
      </w:rPr>
      <w:instrText xml:space="preserve"> FILENAME   \* MERGEFORMAT </w:instrText>
    </w:r>
    <w:r w:rsidR="00AF2176">
      <w:rPr>
        <w:b/>
        <w:bCs/>
      </w:rPr>
      <w:fldChar w:fldCharType="separate"/>
    </w:r>
    <w:r w:rsidR="003940A0">
      <w:rPr>
        <w:b/>
        <w:bCs/>
        <w:noProof/>
      </w:rPr>
      <w:t>TdCstsProvider-191024-JP.docx</w:t>
    </w:r>
    <w:r w:rsidR="00AF2176">
      <w:rPr>
        <w:b/>
        <w:bCs/>
      </w:rPr>
      <w:fldChar w:fldCharType="end"/>
    </w:r>
  </w:p>
  <w:p w:rsidR="004971B1" w:rsidRDefault="00497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1"/>
    <w:rsid w:val="0003584E"/>
    <w:rsid w:val="00040866"/>
    <w:rsid w:val="0006013A"/>
    <w:rsid w:val="00081A62"/>
    <w:rsid w:val="00083A49"/>
    <w:rsid w:val="000948FB"/>
    <w:rsid w:val="000D30E5"/>
    <w:rsid w:val="00131DEC"/>
    <w:rsid w:val="001346B6"/>
    <w:rsid w:val="00153C47"/>
    <w:rsid w:val="001802C5"/>
    <w:rsid w:val="001E5B99"/>
    <w:rsid w:val="001E72E6"/>
    <w:rsid w:val="00222B80"/>
    <w:rsid w:val="00225A0D"/>
    <w:rsid w:val="00276948"/>
    <w:rsid w:val="00282AC3"/>
    <w:rsid w:val="002A76FB"/>
    <w:rsid w:val="002D6578"/>
    <w:rsid w:val="0032136C"/>
    <w:rsid w:val="003514A2"/>
    <w:rsid w:val="003940A0"/>
    <w:rsid w:val="004126BD"/>
    <w:rsid w:val="004164C0"/>
    <w:rsid w:val="004316FA"/>
    <w:rsid w:val="0043323E"/>
    <w:rsid w:val="004414B0"/>
    <w:rsid w:val="00473F18"/>
    <w:rsid w:val="004805C8"/>
    <w:rsid w:val="004866A9"/>
    <w:rsid w:val="004971B1"/>
    <w:rsid w:val="004C6AFD"/>
    <w:rsid w:val="004D61E5"/>
    <w:rsid w:val="00542AF6"/>
    <w:rsid w:val="005B0185"/>
    <w:rsid w:val="006053CD"/>
    <w:rsid w:val="00682063"/>
    <w:rsid w:val="006D0EA1"/>
    <w:rsid w:val="006D13FA"/>
    <w:rsid w:val="006F2CC0"/>
    <w:rsid w:val="00702968"/>
    <w:rsid w:val="007E31E8"/>
    <w:rsid w:val="00820374"/>
    <w:rsid w:val="008227E1"/>
    <w:rsid w:val="00835116"/>
    <w:rsid w:val="008A3F59"/>
    <w:rsid w:val="008A44C2"/>
    <w:rsid w:val="00905C30"/>
    <w:rsid w:val="009313EE"/>
    <w:rsid w:val="009421F4"/>
    <w:rsid w:val="00946C25"/>
    <w:rsid w:val="009D227C"/>
    <w:rsid w:val="009E7C68"/>
    <w:rsid w:val="00A32B8C"/>
    <w:rsid w:val="00AB70D9"/>
    <w:rsid w:val="00AF2176"/>
    <w:rsid w:val="00AF6AD9"/>
    <w:rsid w:val="00B01ACE"/>
    <w:rsid w:val="00B24D69"/>
    <w:rsid w:val="00B32856"/>
    <w:rsid w:val="00B75371"/>
    <w:rsid w:val="00BE4CE2"/>
    <w:rsid w:val="00C54FE8"/>
    <w:rsid w:val="00C5595F"/>
    <w:rsid w:val="00C65EA3"/>
    <w:rsid w:val="00C82BF5"/>
    <w:rsid w:val="00CD1D0A"/>
    <w:rsid w:val="00CE04EB"/>
    <w:rsid w:val="00CE3269"/>
    <w:rsid w:val="00CE6434"/>
    <w:rsid w:val="00CF1563"/>
    <w:rsid w:val="00D67017"/>
    <w:rsid w:val="00D70458"/>
    <w:rsid w:val="00D735FD"/>
    <w:rsid w:val="00DF53E8"/>
    <w:rsid w:val="00EA359A"/>
    <w:rsid w:val="00F055C4"/>
    <w:rsid w:val="00F97AFB"/>
    <w:rsid w:val="00FC0CF6"/>
    <w:rsid w:val="00FE106A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F3ABC"/>
  <w15:chartTrackingRefBased/>
  <w15:docId w15:val="{3B683476-131A-4AD4-BF58-00ECB8B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B1"/>
  </w:style>
  <w:style w:type="paragraph" w:styleId="Footer">
    <w:name w:val="footer"/>
    <w:basedOn w:val="Normal"/>
    <w:link w:val="FooterChar"/>
    <w:uiPriority w:val="99"/>
    <w:unhideWhenUsed/>
    <w:rsid w:val="0049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Pietras</dc:creator>
  <cp:keywords/>
  <dc:description/>
  <cp:lastModifiedBy>John Pietras</cp:lastModifiedBy>
  <cp:revision>3</cp:revision>
  <dcterms:created xsi:type="dcterms:W3CDTF">2019-11-04T15:37:00Z</dcterms:created>
  <dcterms:modified xsi:type="dcterms:W3CDTF">2019-11-04T15:41:00Z</dcterms:modified>
</cp:coreProperties>
</file>