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39"/>
        <w:gridCol w:w="5480"/>
        <w:gridCol w:w="2786"/>
        <w:gridCol w:w="1545"/>
      </w:tblGrid>
      <w:tr w:rsidR="00CE6434" w:rsidRPr="00CE6434" w:rsidTr="00CE6434">
        <w:trPr>
          <w:trHeight w:val="300"/>
        </w:trPr>
        <w:tc>
          <w:tcPr>
            <w:tcW w:w="4360" w:type="dxa"/>
            <w:noWrap/>
            <w:hideMark/>
          </w:tcPr>
          <w:p w:rsidR="00CE6434" w:rsidRPr="00CE6434" w:rsidRDefault="00CE6434" w:rsidP="00433A19">
            <w:pPr>
              <w:rPr>
                <w:b/>
                <w:bCs/>
              </w:rPr>
            </w:pPr>
            <w:proofErr w:type="spellStart"/>
            <w:r w:rsidRPr="00CE6434">
              <w:rPr>
                <w:b/>
                <w:bCs/>
              </w:rPr>
              <w:t>F</w:t>
            </w:r>
            <w:r w:rsidR="00433A19">
              <w:rPr>
                <w:b/>
                <w:bCs/>
              </w:rPr>
              <w:t>wdC</w:t>
            </w:r>
            <w:r w:rsidRPr="00CE6434">
              <w:rPr>
                <w:b/>
                <w:bCs/>
              </w:rPr>
              <w:t>ltuTsProvider</w:t>
            </w:r>
            <w:proofErr w:type="spellEnd"/>
          </w:p>
        </w:tc>
        <w:tc>
          <w:tcPr>
            <w:tcW w:w="7680" w:type="dxa"/>
            <w:noWrap/>
            <w:hideMark/>
          </w:tcPr>
          <w:p w:rsidR="00CE6434" w:rsidRPr="00CE6434" w:rsidRDefault="00CE6434" w:rsidP="00CE6434">
            <w:pPr>
              <w:rPr>
                <w:b/>
                <w:bCs/>
              </w:rPr>
            </w:pPr>
            <w:r w:rsidRPr="00CE6434">
              <w:rPr>
                <w:b/>
                <w:bCs/>
              </w:rPr>
              <w:t>Creator = CSS Area</w:t>
            </w:r>
          </w:p>
        </w:tc>
        <w:tc>
          <w:tcPr>
            <w:tcW w:w="3860" w:type="dxa"/>
            <w:noWrap/>
            <w:hideMark/>
          </w:tcPr>
          <w:p w:rsidR="00CE6434" w:rsidRPr="00CE6434" w:rsidRDefault="00CE6434" w:rsidP="00CE6434">
            <w:pPr>
              <w:rPr>
                <w:b/>
                <w:bCs/>
              </w:rPr>
            </w:pPr>
            <w:r w:rsidRPr="00CE6434">
              <w:rPr>
                <w:b/>
                <w:bCs/>
              </w:rPr>
              <w:t>Editor = Wolfgang</w:t>
            </w:r>
          </w:p>
        </w:tc>
        <w:tc>
          <w:tcPr>
            <w:tcW w:w="2100" w:type="dxa"/>
            <w:noWrap/>
            <w:hideMark/>
          </w:tcPr>
          <w:p w:rsidR="00CE6434" w:rsidRPr="00CE6434" w:rsidRDefault="00CE6434" w:rsidP="00CE6434">
            <w:pPr>
              <w:rPr>
                <w:b/>
                <w:bCs/>
              </w:rPr>
            </w:pPr>
            <w:r w:rsidRPr="00CE6434">
              <w:rPr>
                <w:b/>
                <w:bCs/>
              </w:rPr>
              <w:t xml:space="preserve">Reviewer </w:t>
            </w:r>
            <w:proofErr w:type="gramStart"/>
            <w:r w:rsidRPr="00CE6434">
              <w:rPr>
                <w:b/>
                <w:bCs/>
              </w:rPr>
              <w:t>= ??</w:t>
            </w:r>
            <w:proofErr w:type="gramEnd"/>
          </w:p>
        </w:tc>
      </w:tr>
      <w:tr w:rsidR="00CE6434" w:rsidRPr="00CE6434" w:rsidTr="00CE6434">
        <w:trPr>
          <w:trHeight w:val="300"/>
        </w:trPr>
        <w:tc>
          <w:tcPr>
            <w:tcW w:w="18000" w:type="dxa"/>
            <w:gridSpan w:val="4"/>
            <w:noWrap/>
            <w:hideMark/>
          </w:tcPr>
          <w:p w:rsidR="00CE6434" w:rsidRPr="00CE6434" w:rsidRDefault="00CE6434" w:rsidP="00CE4C4B">
            <w:pPr>
              <w:rPr>
                <w:b/>
                <w:bCs/>
              </w:rPr>
            </w:pPr>
            <w:r w:rsidRPr="00CE6434">
              <w:rPr>
                <w:b/>
                <w:bCs/>
              </w:rPr>
              <w:t>Status:</w:t>
            </w:r>
            <w:r w:rsidR="00433A19">
              <w:rPr>
                <w:b/>
                <w:bCs/>
              </w:rPr>
              <w:t xml:space="preserve"> </w:t>
            </w:r>
            <w:r w:rsidR="00A22A5A">
              <w:rPr>
                <w:b/>
                <w:bCs/>
              </w:rPr>
              <w:t>20</w:t>
            </w:r>
            <w:r w:rsidR="00433A19">
              <w:rPr>
                <w:b/>
                <w:bCs/>
              </w:rPr>
              <w:t>19</w:t>
            </w:r>
            <w:r w:rsidR="00E30955">
              <w:rPr>
                <w:b/>
                <w:bCs/>
              </w:rPr>
              <w:t>1</w:t>
            </w:r>
            <w:r w:rsidR="00CE4C4B">
              <w:rPr>
                <w:b/>
                <w:bCs/>
              </w:rPr>
              <w:t>104</w:t>
            </w:r>
          </w:p>
        </w:tc>
      </w:tr>
    </w:tbl>
    <w:p w:rsidR="00C54FE8" w:rsidRDefault="00C54FE8" w:rsidP="00CF1563"/>
    <w:tbl>
      <w:tblPr>
        <w:tblStyle w:val="TableGrid"/>
        <w:tblW w:w="0" w:type="auto"/>
        <w:tblLook w:val="04A0" w:firstRow="1" w:lastRow="0" w:firstColumn="1" w:lastColumn="0" w:noHBand="0" w:noVBand="1"/>
      </w:tblPr>
      <w:tblGrid>
        <w:gridCol w:w="2959"/>
        <w:gridCol w:w="5159"/>
        <w:gridCol w:w="2629"/>
        <w:gridCol w:w="1494"/>
        <w:gridCol w:w="709"/>
      </w:tblGrid>
      <w:tr w:rsidR="00CE6434" w:rsidRPr="00CE6434" w:rsidTr="00433A19">
        <w:trPr>
          <w:trHeight w:val="300"/>
          <w:tblHeader/>
        </w:trPr>
        <w:tc>
          <w:tcPr>
            <w:tcW w:w="2967" w:type="dxa"/>
            <w:noWrap/>
            <w:hideMark/>
          </w:tcPr>
          <w:p w:rsidR="00CE6434" w:rsidRPr="00CE6434" w:rsidRDefault="00CE6434" w:rsidP="00CE6434">
            <w:pPr>
              <w:rPr>
                <w:b/>
                <w:bCs/>
              </w:rPr>
            </w:pPr>
            <w:r w:rsidRPr="00CE6434">
              <w:rPr>
                <w:b/>
                <w:bCs/>
              </w:rPr>
              <w:t>Issue Short Title</w:t>
            </w:r>
          </w:p>
        </w:tc>
        <w:tc>
          <w:tcPr>
            <w:tcW w:w="5171" w:type="dxa"/>
            <w:noWrap/>
            <w:hideMark/>
          </w:tcPr>
          <w:p w:rsidR="00CE6434" w:rsidRPr="00CE6434" w:rsidRDefault="00CE6434" w:rsidP="00CE6434">
            <w:pPr>
              <w:rPr>
                <w:b/>
                <w:bCs/>
              </w:rPr>
            </w:pPr>
            <w:r w:rsidRPr="00CE6434">
              <w:rPr>
                <w:b/>
                <w:bCs/>
              </w:rPr>
              <w:t>Issue Description/Discussion</w:t>
            </w:r>
          </w:p>
        </w:tc>
        <w:tc>
          <w:tcPr>
            <w:tcW w:w="2635" w:type="dxa"/>
            <w:noWrap/>
            <w:hideMark/>
          </w:tcPr>
          <w:p w:rsidR="00CE6434" w:rsidRPr="00CE6434" w:rsidRDefault="00CE6434" w:rsidP="00CE6434">
            <w:pPr>
              <w:rPr>
                <w:b/>
                <w:bCs/>
              </w:rPr>
            </w:pPr>
            <w:r w:rsidRPr="00CE6434">
              <w:rPr>
                <w:b/>
                <w:bCs/>
              </w:rPr>
              <w:t>Source</w:t>
            </w:r>
          </w:p>
        </w:tc>
        <w:tc>
          <w:tcPr>
            <w:tcW w:w="1467" w:type="dxa"/>
            <w:noWrap/>
            <w:hideMark/>
          </w:tcPr>
          <w:p w:rsidR="00CE6434" w:rsidRPr="00CE6434" w:rsidRDefault="00CE6434" w:rsidP="00CE6434">
            <w:pPr>
              <w:rPr>
                <w:b/>
                <w:bCs/>
              </w:rPr>
            </w:pPr>
            <w:r w:rsidRPr="00CE6434">
              <w:rPr>
                <w:b/>
                <w:bCs/>
              </w:rPr>
              <w:t>Status</w:t>
            </w:r>
          </w:p>
        </w:tc>
        <w:tc>
          <w:tcPr>
            <w:tcW w:w="710" w:type="dxa"/>
            <w:noWrap/>
            <w:hideMark/>
          </w:tcPr>
          <w:p w:rsidR="00CE6434" w:rsidRPr="00CE6434" w:rsidRDefault="00CE6434" w:rsidP="00CE6434">
            <w:pPr>
              <w:rPr>
                <w:b/>
                <w:bCs/>
              </w:rPr>
            </w:pPr>
            <w:r w:rsidRPr="00CE6434">
              <w:rPr>
                <w:b/>
                <w:bCs/>
              </w:rPr>
              <w:t>O/C</w:t>
            </w:r>
          </w:p>
        </w:tc>
      </w:tr>
      <w:tr w:rsidR="00433A19" w:rsidRPr="00CE6434" w:rsidTr="00433A19">
        <w:trPr>
          <w:trHeight w:val="300"/>
        </w:trPr>
        <w:tc>
          <w:tcPr>
            <w:tcW w:w="2967" w:type="dxa"/>
            <w:noWrap/>
            <w:hideMark/>
          </w:tcPr>
          <w:p w:rsidR="00433A19" w:rsidRPr="00E30955" w:rsidRDefault="00433A19" w:rsidP="00433A19">
            <w:pPr>
              <w:rPr>
                <w:b/>
                <w:color w:val="538135" w:themeColor="accent6" w:themeShade="BF"/>
              </w:rPr>
            </w:pPr>
            <w:proofErr w:type="gramStart"/>
            <w:r w:rsidRPr="00E30955">
              <w:rPr>
                <w:b/>
                <w:color w:val="538135" w:themeColor="accent6" w:themeShade="BF"/>
              </w:rPr>
              <w:t>resource</w:t>
            </w:r>
            <w:proofErr w:type="gramEnd"/>
            <w:r w:rsidRPr="00E30955">
              <w:rPr>
                <w:b/>
                <w:color w:val="538135" w:themeColor="accent6" w:themeShade="BF"/>
              </w:rPr>
              <w:t xml:space="preserve"> status or production status?</w:t>
            </w:r>
          </w:p>
        </w:tc>
        <w:tc>
          <w:tcPr>
            <w:tcW w:w="5171" w:type="dxa"/>
            <w:noWrap/>
            <w:hideMark/>
          </w:tcPr>
          <w:p w:rsidR="00433A19" w:rsidRPr="00E30955" w:rsidRDefault="00433A19" w:rsidP="00433A19">
            <w:pPr>
              <w:rPr>
                <w:b/>
                <w:color w:val="538135" w:themeColor="accent6" w:themeShade="BF"/>
              </w:rPr>
            </w:pPr>
            <w:r w:rsidRPr="00E30955">
              <w:rPr>
                <w:b/>
                <w:color w:val="538135" w:themeColor="accent6" w:themeShade="BF"/>
              </w:rPr>
              <w:t xml:space="preserve">Do </w:t>
            </w:r>
            <w:proofErr w:type="spellStart"/>
            <w:r w:rsidRPr="00E30955">
              <w:rPr>
                <w:b/>
                <w:color w:val="538135" w:themeColor="accent6" w:themeShade="BF"/>
              </w:rPr>
              <w:t>TSes</w:t>
            </w:r>
            <w:proofErr w:type="spellEnd"/>
            <w:r w:rsidRPr="00E30955">
              <w:rPr>
                <w:b/>
                <w:color w:val="538135" w:themeColor="accent6" w:themeShade="BF"/>
              </w:rPr>
              <w:t xml:space="preserve"> have a resource status?</w:t>
            </w:r>
          </w:p>
          <w:p w:rsidR="00433A19" w:rsidRPr="00E30955" w:rsidRDefault="00433A19" w:rsidP="00433A19">
            <w:pPr>
              <w:rPr>
                <w:b/>
                <w:color w:val="538135" w:themeColor="accent6" w:themeShade="BF"/>
              </w:rPr>
            </w:pPr>
          </w:p>
          <w:p w:rsidR="009C3D5F" w:rsidRPr="00E30955" w:rsidRDefault="00433A19" w:rsidP="00433A19">
            <w:pPr>
              <w:rPr>
                <w:b/>
                <w:color w:val="538135" w:themeColor="accent6" w:themeShade="BF"/>
              </w:rPr>
            </w:pPr>
            <w:r w:rsidRPr="00E30955">
              <w:rPr>
                <w:b/>
                <w:color w:val="538135" w:themeColor="accent6" w:themeShade="BF"/>
              </w:rPr>
              <w:t xml:space="preserve">190807 WH – If my memory serves me well, we originally used all over the term ‘production status’, but then realized that this does not make sense for individual FR types because the actual production as necessary for a given service instance will normally </w:t>
            </w:r>
            <w:r w:rsidR="009C3D5F" w:rsidRPr="00E30955">
              <w:rPr>
                <w:b/>
                <w:color w:val="538135" w:themeColor="accent6" w:themeShade="BF"/>
              </w:rPr>
              <w:t>involve a number of FR types. From the service perspective the ‘production status’ will depend on the resource status of all FR instances involved in the service production. The TS FR instance will evaluate the resource status as reported by the FR instances involved in the service production and in that way determine the production status. Therefore I do not see a necessity to specify a resource status for TS FR types, but instead each such FR type will have a ‘production status’ parameter.</w:t>
            </w:r>
          </w:p>
          <w:p w:rsidR="009C3D5F" w:rsidRPr="00E30955" w:rsidRDefault="009C3D5F" w:rsidP="00433A19">
            <w:pPr>
              <w:rPr>
                <w:b/>
                <w:color w:val="538135" w:themeColor="accent6" w:themeShade="BF"/>
              </w:rPr>
            </w:pPr>
          </w:p>
          <w:p w:rsidR="00433A19" w:rsidRPr="00E30955" w:rsidRDefault="009C3D5F" w:rsidP="00433A19">
            <w:pPr>
              <w:rPr>
                <w:b/>
                <w:color w:val="538135" w:themeColor="accent6" w:themeShade="BF"/>
              </w:rPr>
            </w:pPr>
            <w:r w:rsidRPr="00E30955">
              <w:rPr>
                <w:b/>
                <w:color w:val="538135" w:themeColor="accent6" w:themeShade="BF"/>
              </w:rPr>
              <w:t xml:space="preserve">If we can agree on that approach, this item </w:t>
            </w:r>
            <w:proofErr w:type="gramStart"/>
            <w:r w:rsidRPr="00E30955">
              <w:rPr>
                <w:b/>
                <w:color w:val="538135" w:themeColor="accent6" w:themeShade="BF"/>
              </w:rPr>
              <w:t>can be closed</w:t>
            </w:r>
            <w:proofErr w:type="gramEnd"/>
            <w:r w:rsidRPr="00E30955">
              <w:rPr>
                <w:b/>
                <w:color w:val="538135" w:themeColor="accent6" w:themeShade="BF"/>
              </w:rPr>
              <w:t xml:space="preserve"> and no change of the FR specification is necessary in this respect. </w:t>
            </w:r>
          </w:p>
          <w:p w:rsidR="00E30955" w:rsidRPr="00E30955" w:rsidRDefault="00E30955" w:rsidP="00433A19">
            <w:pPr>
              <w:rPr>
                <w:b/>
                <w:color w:val="538135" w:themeColor="accent6" w:themeShade="BF"/>
              </w:rPr>
            </w:pPr>
          </w:p>
          <w:p w:rsidR="00E30955" w:rsidRPr="00E30955" w:rsidRDefault="00E30955" w:rsidP="00433A19">
            <w:pPr>
              <w:rPr>
                <w:b/>
                <w:color w:val="538135" w:themeColor="accent6" w:themeShade="BF"/>
              </w:rPr>
            </w:pPr>
            <w:r w:rsidRPr="00E30955">
              <w:rPr>
                <w:b/>
                <w:color w:val="538135" w:themeColor="accent6" w:themeShade="BF"/>
              </w:rPr>
              <w:t>191024</w:t>
            </w:r>
            <w:r>
              <w:rPr>
                <w:b/>
                <w:color w:val="538135" w:themeColor="accent6" w:themeShade="BF"/>
              </w:rPr>
              <w:t xml:space="preserve"> JP </w:t>
            </w:r>
            <w:r w:rsidRPr="00E30955">
              <w:rPr>
                <w:b/>
                <w:color w:val="538135" w:themeColor="accent6" w:themeShade="BF"/>
              </w:rPr>
              <w:t xml:space="preserve"> - Agreed</w:t>
            </w:r>
          </w:p>
        </w:tc>
        <w:tc>
          <w:tcPr>
            <w:tcW w:w="2635" w:type="dxa"/>
            <w:noWrap/>
            <w:hideMark/>
          </w:tcPr>
          <w:p w:rsidR="00433A19" w:rsidRPr="00E30955" w:rsidRDefault="00433A19" w:rsidP="00433A19">
            <w:pPr>
              <w:rPr>
                <w:b/>
                <w:color w:val="538135" w:themeColor="accent6" w:themeShade="BF"/>
              </w:rPr>
            </w:pPr>
            <w:r w:rsidRPr="00E30955">
              <w:rPr>
                <w:b/>
                <w:color w:val="538135" w:themeColor="accent6" w:themeShade="BF"/>
              </w:rPr>
              <w:t>JP</w:t>
            </w:r>
            <w:r w:rsidR="000D67FD" w:rsidRPr="00E30955">
              <w:rPr>
                <w:b/>
                <w:color w:val="538135" w:themeColor="accent6" w:themeShade="BF"/>
              </w:rPr>
              <w:t xml:space="preserve"> 190109</w:t>
            </w:r>
          </w:p>
        </w:tc>
        <w:tc>
          <w:tcPr>
            <w:tcW w:w="1467" w:type="dxa"/>
            <w:noWrap/>
            <w:hideMark/>
          </w:tcPr>
          <w:p w:rsidR="00433A19" w:rsidRPr="00E30955" w:rsidRDefault="00E30955" w:rsidP="00433A19">
            <w:pPr>
              <w:rPr>
                <w:b/>
                <w:color w:val="538135" w:themeColor="accent6" w:themeShade="BF"/>
              </w:rPr>
            </w:pPr>
            <w:r w:rsidRPr="00E30955">
              <w:rPr>
                <w:b/>
                <w:color w:val="538135" w:themeColor="accent6" w:themeShade="BF"/>
              </w:rPr>
              <w:t>CLOSED on 191024</w:t>
            </w:r>
          </w:p>
        </w:tc>
        <w:tc>
          <w:tcPr>
            <w:tcW w:w="710" w:type="dxa"/>
            <w:noWrap/>
            <w:hideMark/>
          </w:tcPr>
          <w:p w:rsidR="00433A19" w:rsidRPr="00E30955" w:rsidRDefault="00E30955" w:rsidP="00433A19">
            <w:pPr>
              <w:rPr>
                <w:b/>
                <w:color w:val="538135" w:themeColor="accent6" w:themeShade="BF"/>
              </w:rPr>
            </w:pPr>
            <w:r w:rsidRPr="00E30955">
              <w:rPr>
                <w:b/>
                <w:color w:val="538135" w:themeColor="accent6" w:themeShade="BF"/>
              </w:rPr>
              <w:t>C</w:t>
            </w:r>
          </w:p>
        </w:tc>
      </w:tr>
      <w:tr w:rsidR="00433A19" w:rsidRPr="00CE6434" w:rsidTr="00433A19">
        <w:trPr>
          <w:trHeight w:val="600"/>
        </w:trPr>
        <w:tc>
          <w:tcPr>
            <w:tcW w:w="2967" w:type="dxa"/>
            <w:noWrap/>
            <w:hideMark/>
          </w:tcPr>
          <w:p w:rsidR="00433A19" w:rsidRPr="00ED5EC2" w:rsidRDefault="00433A19" w:rsidP="00433A19">
            <w:pPr>
              <w:rPr>
                <w:b/>
                <w:color w:val="538135" w:themeColor="accent6" w:themeShade="BF"/>
              </w:rPr>
            </w:pPr>
            <w:r w:rsidRPr="00ED5EC2">
              <w:rPr>
                <w:b/>
                <w:color w:val="538135" w:themeColor="accent6" w:themeShade="BF"/>
              </w:rPr>
              <w:t>configures and reports</w:t>
            </w:r>
          </w:p>
        </w:tc>
        <w:tc>
          <w:tcPr>
            <w:tcW w:w="5171" w:type="dxa"/>
            <w:hideMark/>
          </w:tcPr>
          <w:p w:rsidR="00433A19" w:rsidRPr="00ED5EC2" w:rsidRDefault="00433A19" w:rsidP="00433A19">
            <w:pPr>
              <w:rPr>
                <w:b/>
                <w:color w:val="538135" w:themeColor="accent6" w:themeShade="BF"/>
              </w:rPr>
            </w:pPr>
            <w:r w:rsidRPr="00ED5EC2">
              <w:rPr>
                <w:b/>
                <w:color w:val="538135" w:themeColor="accent6" w:themeShade="BF"/>
              </w:rPr>
              <w:t>The descriptions of parameters for which Configured = true should begin "This param</w:t>
            </w:r>
            <w:r w:rsidR="00ED5EC2" w:rsidRPr="00ED5EC2">
              <w:rPr>
                <w:b/>
                <w:color w:val="538135" w:themeColor="accent6" w:themeShade="BF"/>
              </w:rPr>
              <w:t>e</w:t>
            </w:r>
            <w:r w:rsidRPr="00ED5EC2">
              <w:rPr>
                <w:b/>
                <w:color w:val="538135" w:themeColor="accent6" w:themeShade="BF"/>
              </w:rPr>
              <w:t>ter configures and reports"</w:t>
            </w:r>
          </w:p>
        </w:tc>
        <w:tc>
          <w:tcPr>
            <w:tcW w:w="2635" w:type="dxa"/>
            <w:hideMark/>
          </w:tcPr>
          <w:p w:rsidR="00433A19" w:rsidRPr="00ED5EC2" w:rsidRDefault="00433A19" w:rsidP="00433A19">
            <w:pPr>
              <w:rPr>
                <w:b/>
                <w:color w:val="538135" w:themeColor="accent6" w:themeShade="BF"/>
              </w:rPr>
            </w:pPr>
            <w:r w:rsidRPr="00ED5EC2">
              <w:rPr>
                <w:b/>
                <w:color w:val="538135" w:themeColor="accent6" w:themeShade="BF"/>
              </w:rPr>
              <w:t>correspondence between WH and JP</w:t>
            </w:r>
          </w:p>
        </w:tc>
        <w:tc>
          <w:tcPr>
            <w:tcW w:w="1467" w:type="dxa"/>
            <w:noWrap/>
            <w:hideMark/>
          </w:tcPr>
          <w:p w:rsidR="00433A19" w:rsidRPr="00ED5EC2" w:rsidRDefault="00433A19" w:rsidP="00433A19">
            <w:pPr>
              <w:rPr>
                <w:b/>
                <w:color w:val="538135" w:themeColor="accent6" w:themeShade="BF"/>
              </w:rPr>
            </w:pPr>
            <w:r w:rsidRPr="00ED5EC2">
              <w:rPr>
                <w:b/>
                <w:color w:val="538135" w:themeColor="accent6" w:themeShade="BF"/>
              </w:rPr>
              <w:t>agreed/editor</w:t>
            </w:r>
          </w:p>
        </w:tc>
        <w:tc>
          <w:tcPr>
            <w:tcW w:w="710" w:type="dxa"/>
            <w:noWrap/>
            <w:hideMark/>
          </w:tcPr>
          <w:p w:rsidR="00433A19" w:rsidRPr="00ED5EC2" w:rsidRDefault="00ED5EC2" w:rsidP="00433A19">
            <w:pPr>
              <w:rPr>
                <w:b/>
                <w:color w:val="538135" w:themeColor="accent6" w:themeShade="BF"/>
              </w:rPr>
            </w:pPr>
            <w:r w:rsidRPr="00ED5EC2">
              <w:rPr>
                <w:b/>
                <w:color w:val="538135" w:themeColor="accent6" w:themeShade="BF"/>
              </w:rPr>
              <w:t>C</w:t>
            </w:r>
          </w:p>
        </w:tc>
      </w:tr>
      <w:tr w:rsidR="00433A19" w:rsidRPr="00CE6434" w:rsidTr="00433A19">
        <w:trPr>
          <w:trHeight w:val="1200"/>
        </w:trPr>
        <w:tc>
          <w:tcPr>
            <w:tcW w:w="2967" w:type="dxa"/>
            <w:noWrap/>
            <w:hideMark/>
          </w:tcPr>
          <w:p w:rsidR="00433A19" w:rsidRPr="00801858" w:rsidRDefault="00433A19" w:rsidP="00433A19">
            <w:pPr>
              <w:rPr>
                <w:b/>
                <w:color w:val="538135" w:themeColor="accent6" w:themeShade="BF"/>
              </w:rPr>
            </w:pPr>
            <w:proofErr w:type="gramStart"/>
            <w:r w:rsidRPr="00801858">
              <w:rPr>
                <w:b/>
                <w:color w:val="538135" w:themeColor="accent6" w:themeShade="BF"/>
              </w:rPr>
              <w:lastRenderedPageBreak/>
              <w:t>network</w:t>
            </w:r>
            <w:proofErr w:type="gramEnd"/>
            <w:r w:rsidRPr="00801858">
              <w:rPr>
                <w:b/>
                <w:color w:val="538135" w:themeColor="accent6" w:themeShade="BF"/>
              </w:rPr>
              <w:t xml:space="preserve"> and ISP-1 parameters?</w:t>
            </w:r>
          </w:p>
        </w:tc>
        <w:tc>
          <w:tcPr>
            <w:tcW w:w="5171" w:type="dxa"/>
            <w:hideMark/>
          </w:tcPr>
          <w:p w:rsidR="00433A19" w:rsidRPr="00801858" w:rsidRDefault="00433A19" w:rsidP="00433A19">
            <w:pPr>
              <w:rPr>
                <w:b/>
                <w:color w:val="538135" w:themeColor="accent6" w:themeShade="BF"/>
              </w:rPr>
            </w:pPr>
            <w:r w:rsidRPr="00801858">
              <w:rPr>
                <w:b/>
                <w:color w:val="538135" w:themeColor="accent6" w:themeShade="BF"/>
              </w:rPr>
              <w:t>To complete the full communicatio</w:t>
            </w:r>
            <w:r w:rsidR="00ED5EC2" w:rsidRPr="00801858">
              <w:rPr>
                <w:b/>
                <w:color w:val="538135" w:themeColor="accent6" w:themeShade="BF"/>
              </w:rPr>
              <w:t>n</w:t>
            </w:r>
            <w:r w:rsidRPr="00801858">
              <w:rPr>
                <w:b/>
                <w:color w:val="538135" w:themeColor="accent6" w:themeShade="BF"/>
              </w:rPr>
              <w:t xml:space="preserve"> profile, IP addresses, </w:t>
            </w:r>
            <w:proofErr w:type="gramStart"/>
            <w:r w:rsidRPr="00801858">
              <w:rPr>
                <w:b/>
                <w:color w:val="538135" w:themeColor="accent6" w:themeShade="BF"/>
              </w:rPr>
              <w:t>ports ,</w:t>
            </w:r>
            <w:proofErr w:type="gramEnd"/>
            <w:r w:rsidRPr="00801858">
              <w:rPr>
                <w:b/>
                <w:color w:val="538135" w:themeColor="accent6" w:themeShade="BF"/>
              </w:rPr>
              <w:t xml:space="preserve"> and ISP-1 param</w:t>
            </w:r>
            <w:r w:rsidR="00ED5EC2" w:rsidRPr="00801858">
              <w:rPr>
                <w:b/>
                <w:color w:val="538135" w:themeColor="accent6" w:themeShade="BF"/>
              </w:rPr>
              <w:t>e</w:t>
            </w:r>
            <w:r w:rsidRPr="00801858">
              <w:rPr>
                <w:b/>
                <w:color w:val="538135" w:themeColor="accent6" w:themeShade="BF"/>
              </w:rPr>
              <w:t xml:space="preserve">ters must be configured. </w:t>
            </w:r>
            <w:proofErr w:type="gramStart"/>
            <w:r w:rsidRPr="00801858">
              <w:rPr>
                <w:b/>
                <w:color w:val="538135" w:themeColor="accent6" w:themeShade="BF"/>
              </w:rPr>
              <w:t>Should these be added</w:t>
            </w:r>
            <w:proofErr w:type="gramEnd"/>
            <w:r w:rsidRPr="00801858">
              <w:rPr>
                <w:b/>
                <w:color w:val="538135" w:themeColor="accent6" w:themeShade="BF"/>
              </w:rPr>
              <w:t xml:space="preserve"> to the FR config</w:t>
            </w:r>
            <w:r w:rsidR="00ED5EC2" w:rsidRPr="00801858">
              <w:rPr>
                <w:b/>
                <w:color w:val="538135" w:themeColor="accent6" w:themeShade="BF"/>
              </w:rPr>
              <w:t>uration</w:t>
            </w:r>
            <w:r w:rsidRPr="00801858">
              <w:rPr>
                <w:b/>
                <w:color w:val="538135" w:themeColor="accent6" w:themeShade="BF"/>
              </w:rPr>
              <w:t xml:space="preserve"> parameters? If not here, how should this be addressed (e.g., as a separate, protocol-specific "connection" FR type)?</w:t>
            </w:r>
          </w:p>
          <w:p w:rsidR="009C1F6B" w:rsidRPr="00801858" w:rsidRDefault="009C1F6B" w:rsidP="00433A19">
            <w:pPr>
              <w:rPr>
                <w:b/>
                <w:color w:val="538135" w:themeColor="accent6" w:themeShade="BF"/>
              </w:rPr>
            </w:pPr>
          </w:p>
          <w:p w:rsidR="009C1F6B" w:rsidRPr="00801858" w:rsidRDefault="009C1F6B" w:rsidP="00802A81">
            <w:pPr>
              <w:rPr>
                <w:b/>
                <w:color w:val="538135" w:themeColor="accent6" w:themeShade="BF"/>
              </w:rPr>
            </w:pPr>
            <w:r w:rsidRPr="00801858">
              <w:rPr>
                <w:b/>
                <w:color w:val="538135" w:themeColor="accent6" w:themeShade="BF"/>
              </w:rPr>
              <w:t xml:space="preserve">190807 WH – The parameters addressed here are certainly required to make establishing of an association between user and provider possible. However, parameters such as IP addresses, encryption keys etc. </w:t>
            </w:r>
            <w:proofErr w:type="gramStart"/>
            <w:r w:rsidRPr="00801858">
              <w:rPr>
                <w:b/>
                <w:color w:val="538135" w:themeColor="accent6" w:themeShade="BF"/>
              </w:rPr>
              <w:t>are handled</w:t>
            </w:r>
            <w:proofErr w:type="gramEnd"/>
            <w:r w:rsidRPr="00801858">
              <w:rPr>
                <w:b/>
                <w:color w:val="538135" w:themeColor="accent6" w:themeShade="BF"/>
              </w:rPr>
              <w:t xml:space="preserve"> normally with the policy that they are only disclosed to those who absolutely need to know and not to anybody else. </w:t>
            </w:r>
            <w:proofErr w:type="gramStart"/>
            <w:r w:rsidRPr="00801858">
              <w:rPr>
                <w:b/>
                <w:color w:val="538135" w:themeColor="accent6" w:themeShade="BF"/>
              </w:rPr>
              <w:t>For certain it</w:t>
            </w:r>
            <w:proofErr w:type="gramEnd"/>
            <w:r w:rsidRPr="00801858">
              <w:rPr>
                <w:b/>
                <w:color w:val="538135" w:themeColor="accent6" w:themeShade="BF"/>
              </w:rPr>
              <w:t xml:space="preserve"> would not be accepted that such security relevant parameters be exchanged via the FR parameter mechanism. I would expect the relevant data </w:t>
            </w:r>
            <w:proofErr w:type="gramStart"/>
            <w:r w:rsidRPr="00801858">
              <w:rPr>
                <w:b/>
                <w:color w:val="538135" w:themeColor="accent6" w:themeShade="BF"/>
              </w:rPr>
              <w:t>be exchanged</w:t>
            </w:r>
            <w:proofErr w:type="gramEnd"/>
            <w:r w:rsidRPr="00801858">
              <w:rPr>
                <w:b/>
                <w:color w:val="538135" w:themeColor="accent6" w:themeShade="BF"/>
              </w:rPr>
              <w:t xml:space="preserve"> via a secure file exchange mechanism where the relevant file is identified by the service instance identifier. Given </w:t>
            </w:r>
            <w:proofErr w:type="gramStart"/>
            <w:r w:rsidRPr="00801858">
              <w:rPr>
                <w:b/>
                <w:color w:val="538135" w:themeColor="accent6" w:themeShade="BF"/>
              </w:rPr>
              <w:t>that</w:t>
            </w:r>
            <w:proofErr w:type="gramEnd"/>
            <w:r w:rsidRPr="00801858">
              <w:rPr>
                <w:b/>
                <w:color w:val="538135" w:themeColor="accent6" w:themeShade="BF"/>
              </w:rPr>
              <w:t xml:space="preserve"> I suggest to close this item here, but to address in the FR TN the fact that the parties need to agree on a secure exchange mechanism for handling of these service instance specific parameters. </w:t>
            </w:r>
            <w:r w:rsidR="00802A81" w:rsidRPr="00801858">
              <w:rPr>
                <w:b/>
                <w:color w:val="538135" w:themeColor="accent6" w:themeShade="BF"/>
              </w:rPr>
              <w:t xml:space="preserve">In the </w:t>
            </w:r>
            <w:proofErr w:type="gramStart"/>
            <w:r w:rsidR="00802A81" w:rsidRPr="00801858">
              <w:rPr>
                <w:b/>
                <w:color w:val="538135" w:themeColor="accent6" w:themeShade="BF"/>
              </w:rPr>
              <w:t>TN</w:t>
            </w:r>
            <w:proofErr w:type="gramEnd"/>
            <w:r w:rsidR="00802A81" w:rsidRPr="00801858">
              <w:rPr>
                <w:b/>
                <w:color w:val="538135" w:themeColor="accent6" w:themeShade="BF"/>
              </w:rPr>
              <w:t xml:space="preserve"> we could then list these parameters, but I doubt that CCSDS should get involved in defining a related file format. </w:t>
            </w:r>
          </w:p>
          <w:p w:rsidR="00E30955" w:rsidRPr="00801858" w:rsidRDefault="00E30955" w:rsidP="00802A81">
            <w:pPr>
              <w:rPr>
                <w:b/>
                <w:color w:val="538135" w:themeColor="accent6" w:themeShade="BF"/>
              </w:rPr>
            </w:pPr>
          </w:p>
          <w:p w:rsidR="00E30955" w:rsidRPr="00801858" w:rsidRDefault="00E30955" w:rsidP="00E30955">
            <w:pPr>
              <w:rPr>
                <w:b/>
                <w:color w:val="538135" w:themeColor="accent6" w:themeShade="BF"/>
              </w:rPr>
            </w:pPr>
            <w:r w:rsidRPr="00801858">
              <w:rPr>
                <w:b/>
                <w:color w:val="538135" w:themeColor="accent6" w:themeShade="BF"/>
              </w:rPr>
              <w:t>191024 JP – We agreed that network, ISP-1, and transfer-service identification information (</w:t>
            </w:r>
            <w:proofErr w:type="spellStart"/>
            <w:r w:rsidRPr="00801858">
              <w:rPr>
                <w:b/>
                <w:color w:val="538135" w:themeColor="accent6" w:themeShade="BF"/>
              </w:rPr>
              <w:t>initiatorId</w:t>
            </w:r>
            <w:proofErr w:type="spellEnd"/>
            <w:r w:rsidRPr="00801858">
              <w:rPr>
                <w:b/>
                <w:color w:val="538135" w:themeColor="accent6" w:themeShade="BF"/>
              </w:rPr>
              <w:t xml:space="preserve">, </w:t>
            </w:r>
            <w:proofErr w:type="spellStart"/>
            <w:r w:rsidRPr="00801858">
              <w:rPr>
                <w:b/>
                <w:color w:val="538135" w:themeColor="accent6" w:themeShade="BF"/>
              </w:rPr>
              <w:t>responderId</w:t>
            </w:r>
            <w:proofErr w:type="spellEnd"/>
            <w:r w:rsidRPr="00801858">
              <w:rPr>
                <w:b/>
                <w:color w:val="538135" w:themeColor="accent6" w:themeShade="BF"/>
              </w:rPr>
              <w:t xml:space="preserve">, and </w:t>
            </w:r>
            <w:proofErr w:type="spellStart"/>
            <w:r w:rsidRPr="00801858">
              <w:rPr>
                <w:b/>
                <w:color w:val="538135" w:themeColor="accent6" w:themeShade="BF"/>
              </w:rPr>
              <w:t>responderPortId</w:t>
            </w:r>
            <w:proofErr w:type="spellEnd"/>
            <w:r w:rsidRPr="00801858">
              <w:rPr>
                <w:b/>
                <w:color w:val="538135" w:themeColor="accent6" w:themeShade="BF"/>
              </w:rPr>
              <w:t xml:space="preserve">) would be maintained via some “other” mechanism and not be accessible via the </w:t>
            </w:r>
            <w:proofErr w:type="spellStart"/>
            <w:r w:rsidRPr="00801858">
              <w:rPr>
                <w:b/>
                <w:color w:val="538135" w:themeColor="accent6" w:themeShade="BF"/>
              </w:rPr>
              <w:t>FRs.</w:t>
            </w:r>
            <w:proofErr w:type="spellEnd"/>
            <w:r w:rsidRPr="00801858">
              <w:rPr>
                <w:b/>
                <w:color w:val="538135" w:themeColor="accent6" w:themeShade="BF"/>
              </w:rPr>
              <w:t xml:space="preserve"> However, the </w:t>
            </w:r>
            <w:proofErr w:type="spellStart"/>
            <w:r w:rsidRPr="00801858">
              <w:rPr>
                <w:b/>
                <w:color w:val="538135" w:themeColor="accent6" w:themeShade="BF"/>
              </w:rPr>
              <w:t>serviceInstanceId</w:t>
            </w:r>
            <w:proofErr w:type="spellEnd"/>
            <w:r w:rsidRPr="00801858">
              <w:rPr>
                <w:b/>
                <w:color w:val="538135" w:themeColor="accent6" w:themeShade="BF"/>
              </w:rPr>
              <w:t xml:space="preserve"> parameter </w:t>
            </w:r>
            <w:r w:rsidRPr="00801858">
              <w:rPr>
                <w:b/>
                <w:color w:val="538135" w:themeColor="accent6" w:themeShade="BF"/>
                <w:u w:val="single"/>
              </w:rPr>
              <w:t>is</w:t>
            </w:r>
            <w:r w:rsidRPr="00801858">
              <w:rPr>
                <w:b/>
                <w:color w:val="538135" w:themeColor="accent6" w:themeShade="BF"/>
              </w:rPr>
              <w:t xml:space="preserve"> a configured parameter of the </w:t>
            </w:r>
            <w:r w:rsidR="00801858" w:rsidRPr="00801858">
              <w:rPr>
                <w:b/>
                <w:color w:val="538135" w:themeColor="accent6" w:themeShade="BF"/>
              </w:rPr>
              <w:t xml:space="preserve">FR </w:t>
            </w:r>
            <w:r w:rsidR="00801858" w:rsidRPr="00801858">
              <w:rPr>
                <w:b/>
                <w:color w:val="538135" w:themeColor="accent6" w:themeShade="BF"/>
              </w:rPr>
              <w:lastRenderedPageBreak/>
              <w:t xml:space="preserve">instance, and services the “key” into the “other” database that contains the aforementioned </w:t>
            </w:r>
            <w:r w:rsidR="00801858" w:rsidRPr="00801858">
              <w:rPr>
                <w:b/>
                <w:color w:val="538135" w:themeColor="accent6" w:themeShade="BF"/>
              </w:rPr>
              <w:t>network, ISP-1, and transfer-service identification information</w:t>
            </w:r>
            <w:r w:rsidR="00801858" w:rsidRPr="00801858">
              <w:rPr>
                <w:b/>
                <w:color w:val="538135" w:themeColor="accent6" w:themeShade="BF"/>
              </w:rPr>
              <w:t xml:space="preserve">. This concept needs to </w:t>
            </w:r>
            <w:proofErr w:type="gramStart"/>
            <w:r w:rsidR="00801858" w:rsidRPr="00801858">
              <w:rPr>
                <w:b/>
                <w:color w:val="538135" w:themeColor="accent6" w:themeShade="BF"/>
              </w:rPr>
              <w:t>be addressed</w:t>
            </w:r>
            <w:proofErr w:type="gramEnd"/>
            <w:r w:rsidR="00801858" w:rsidRPr="00801858">
              <w:rPr>
                <w:b/>
                <w:color w:val="538135" w:themeColor="accent6" w:themeShade="BF"/>
              </w:rPr>
              <w:t xml:space="preserve"> in the FR Reference Model MB.</w:t>
            </w:r>
          </w:p>
        </w:tc>
        <w:tc>
          <w:tcPr>
            <w:tcW w:w="2635" w:type="dxa"/>
            <w:noWrap/>
            <w:hideMark/>
          </w:tcPr>
          <w:p w:rsidR="00433A19" w:rsidRPr="00801858" w:rsidRDefault="00433A19" w:rsidP="00433A19">
            <w:pPr>
              <w:rPr>
                <w:b/>
                <w:color w:val="538135" w:themeColor="accent6" w:themeShade="BF"/>
              </w:rPr>
            </w:pPr>
            <w:r w:rsidRPr="00801858">
              <w:rPr>
                <w:b/>
                <w:color w:val="538135" w:themeColor="accent6" w:themeShade="BF"/>
              </w:rPr>
              <w:lastRenderedPageBreak/>
              <w:t>JP</w:t>
            </w:r>
            <w:r w:rsidR="009C1F6B" w:rsidRPr="00801858">
              <w:rPr>
                <w:b/>
                <w:color w:val="538135" w:themeColor="accent6" w:themeShade="BF"/>
              </w:rPr>
              <w:t xml:space="preserve"> 190109</w:t>
            </w:r>
          </w:p>
        </w:tc>
        <w:tc>
          <w:tcPr>
            <w:tcW w:w="1467" w:type="dxa"/>
            <w:noWrap/>
            <w:hideMark/>
          </w:tcPr>
          <w:p w:rsidR="00433A19" w:rsidRPr="00801858" w:rsidRDefault="00801858" w:rsidP="00433A19">
            <w:pPr>
              <w:rPr>
                <w:b/>
                <w:color w:val="538135" w:themeColor="accent6" w:themeShade="BF"/>
              </w:rPr>
            </w:pPr>
            <w:r w:rsidRPr="00801858">
              <w:rPr>
                <w:b/>
                <w:color w:val="538135" w:themeColor="accent6" w:themeShade="BF"/>
              </w:rPr>
              <w:t>CLOSED - 191024</w:t>
            </w:r>
          </w:p>
        </w:tc>
        <w:tc>
          <w:tcPr>
            <w:tcW w:w="710" w:type="dxa"/>
            <w:noWrap/>
            <w:hideMark/>
          </w:tcPr>
          <w:p w:rsidR="00433A19" w:rsidRPr="00801858" w:rsidRDefault="00801858" w:rsidP="00433A19">
            <w:pPr>
              <w:rPr>
                <w:b/>
                <w:color w:val="538135" w:themeColor="accent6" w:themeShade="BF"/>
              </w:rPr>
            </w:pPr>
            <w:r w:rsidRPr="00801858">
              <w:rPr>
                <w:b/>
                <w:color w:val="538135" w:themeColor="accent6" w:themeShade="BF"/>
              </w:rPr>
              <w:t>C</w:t>
            </w:r>
          </w:p>
        </w:tc>
      </w:tr>
      <w:tr w:rsidR="001D196D" w:rsidRPr="00CE6434" w:rsidTr="00433A19">
        <w:trPr>
          <w:trHeight w:val="1200"/>
        </w:trPr>
        <w:tc>
          <w:tcPr>
            <w:tcW w:w="2967" w:type="dxa"/>
            <w:noWrap/>
          </w:tcPr>
          <w:p w:rsidR="001D196D" w:rsidRPr="003B3E68" w:rsidRDefault="001D196D" w:rsidP="00433A19">
            <w:pPr>
              <w:rPr>
                <w:b/>
                <w:color w:val="538135" w:themeColor="accent6" w:themeShade="BF"/>
              </w:rPr>
            </w:pPr>
            <w:proofErr w:type="spellStart"/>
            <w:r w:rsidRPr="003B3E68">
              <w:rPr>
                <w:b/>
                <w:color w:val="538135" w:themeColor="accent6" w:themeShade="BF"/>
              </w:rPr>
              <w:t>fwdCltuReturnTimeoutPeriod</w:t>
            </w:r>
            <w:proofErr w:type="spellEnd"/>
          </w:p>
        </w:tc>
        <w:tc>
          <w:tcPr>
            <w:tcW w:w="5171" w:type="dxa"/>
          </w:tcPr>
          <w:p w:rsidR="001D196D" w:rsidRPr="003B3E68" w:rsidRDefault="001D196D" w:rsidP="001D196D">
            <w:pPr>
              <w:rPr>
                <w:b/>
                <w:color w:val="538135" w:themeColor="accent6" w:themeShade="BF"/>
              </w:rPr>
            </w:pPr>
            <w:r w:rsidRPr="003B3E68">
              <w:rPr>
                <w:b/>
                <w:color w:val="538135" w:themeColor="accent6" w:themeShade="BF"/>
              </w:rPr>
              <w:t xml:space="preserve">The F-CLTU service (as all other SLE services) does not include any confirmed operations that the service provider invokes. </w:t>
            </w:r>
            <w:proofErr w:type="gramStart"/>
            <w:r w:rsidRPr="003B3E68">
              <w:rPr>
                <w:b/>
                <w:color w:val="538135" w:themeColor="accent6" w:themeShade="BF"/>
              </w:rPr>
              <w:t>Therefore</w:t>
            </w:r>
            <w:proofErr w:type="gramEnd"/>
            <w:r w:rsidRPr="003B3E68">
              <w:rPr>
                <w:b/>
                <w:color w:val="538135" w:themeColor="accent6" w:themeShade="BF"/>
              </w:rPr>
              <w:t xml:space="preserve"> this parameter affects only the behavior of the service user and is not needed as configuration parameter of the service provider except that the F-CLTU service specifies that this parameter is gettable. I therefore suggest that we keep this configurable parameter although it looks strange to have such parameter not affecting the service provider behavior.</w:t>
            </w:r>
          </w:p>
          <w:p w:rsidR="003B3E68" w:rsidRPr="003B3E68" w:rsidRDefault="003B3E68" w:rsidP="001D196D">
            <w:pPr>
              <w:rPr>
                <w:b/>
                <w:color w:val="538135" w:themeColor="accent6" w:themeShade="BF"/>
              </w:rPr>
            </w:pPr>
          </w:p>
          <w:p w:rsidR="003B3E68" w:rsidRPr="003B3E68" w:rsidRDefault="003B3E68" w:rsidP="003B3E68">
            <w:pPr>
              <w:rPr>
                <w:b/>
                <w:color w:val="538135" w:themeColor="accent6" w:themeShade="BF"/>
              </w:rPr>
            </w:pPr>
            <w:r w:rsidRPr="003B3E68">
              <w:rPr>
                <w:b/>
                <w:color w:val="538135" w:themeColor="accent6" w:themeShade="BF"/>
              </w:rPr>
              <w:t>191104 JP – Agree.</w:t>
            </w:r>
          </w:p>
        </w:tc>
        <w:tc>
          <w:tcPr>
            <w:tcW w:w="2635" w:type="dxa"/>
            <w:noWrap/>
          </w:tcPr>
          <w:p w:rsidR="001D196D" w:rsidRPr="003B3E68" w:rsidRDefault="001D196D" w:rsidP="00433A19">
            <w:pPr>
              <w:rPr>
                <w:b/>
                <w:color w:val="538135" w:themeColor="accent6" w:themeShade="BF"/>
              </w:rPr>
            </w:pPr>
            <w:r w:rsidRPr="003B3E68">
              <w:rPr>
                <w:b/>
                <w:color w:val="538135" w:themeColor="accent6" w:themeShade="BF"/>
              </w:rPr>
              <w:t>WH 190807</w:t>
            </w:r>
          </w:p>
        </w:tc>
        <w:tc>
          <w:tcPr>
            <w:tcW w:w="1467" w:type="dxa"/>
            <w:noWrap/>
          </w:tcPr>
          <w:p w:rsidR="001D196D" w:rsidRPr="003B3E68" w:rsidRDefault="003B3E68" w:rsidP="00433A19">
            <w:pPr>
              <w:rPr>
                <w:b/>
                <w:color w:val="538135" w:themeColor="accent6" w:themeShade="BF"/>
              </w:rPr>
            </w:pPr>
            <w:r w:rsidRPr="003B3E68">
              <w:rPr>
                <w:b/>
                <w:color w:val="538135" w:themeColor="accent6" w:themeShade="BF"/>
              </w:rPr>
              <w:t>CLOSED - 191104</w:t>
            </w:r>
          </w:p>
        </w:tc>
        <w:tc>
          <w:tcPr>
            <w:tcW w:w="710" w:type="dxa"/>
            <w:noWrap/>
          </w:tcPr>
          <w:p w:rsidR="001D196D" w:rsidRPr="003B3E68" w:rsidRDefault="001D196D" w:rsidP="00433A19">
            <w:pPr>
              <w:rPr>
                <w:b/>
                <w:color w:val="538135" w:themeColor="accent6" w:themeShade="BF"/>
              </w:rPr>
            </w:pPr>
            <w:r w:rsidRPr="003B3E68">
              <w:rPr>
                <w:b/>
                <w:color w:val="538135" w:themeColor="accent6" w:themeShade="BF"/>
              </w:rPr>
              <w:t>O</w:t>
            </w:r>
          </w:p>
        </w:tc>
      </w:tr>
      <w:tr w:rsidR="00EA37B2" w:rsidRPr="00CE6434" w:rsidTr="00433A19">
        <w:trPr>
          <w:trHeight w:val="1200"/>
        </w:trPr>
        <w:tc>
          <w:tcPr>
            <w:tcW w:w="2967" w:type="dxa"/>
            <w:noWrap/>
          </w:tcPr>
          <w:p w:rsidR="00EA37B2" w:rsidRDefault="00EA37B2" w:rsidP="00433A19">
            <w:pPr>
              <w:rPr>
                <w:b/>
                <w:color w:val="FF0000"/>
              </w:rPr>
            </w:pPr>
            <w:proofErr w:type="spellStart"/>
            <w:r w:rsidRPr="00EA37B2">
              <w:rPr>
                <w:b/>
                <w:color w:val="FF0000"/>
              </w:rPr>
              <w:t>fCltuRfAvailableRequired</w:t>
            </w:r>
            <w:proofErr w:type="spellEnd"/>
          </w:p>
          <w:p w:rsidR="00EA37B2" w:rsidRPr="001D196D" w:rsidRDefault="00EA37B2" w:rsidP="00433A19">
            <w:pPr>
              <w:rPr>
                <w:b/>
                <w:color w:val="FF0000"/>
              </w:rPr>
            </w:pPr>
            <w:proofErr w:type="spellStart"/>
            <w:r w:rsidRPr="00EA37B2">
              <w:rPr>
                <w:b/>
                <w:color w:val="FF0000"/>
              </w:rPr>
              <w:t>fCltuBitLockRequired</w:t>
            </w:r>
            <w:proofErr w:type="spellEnd"/>
          </w:p>
        </w:tc>
        <w:tc>
          <w:tcPr>
            <w:tcW w:w="5171" w:type="dxa"/>
          </w:tcPr>
          <w:p w:rsidR="00EA37B2" w:rsidRPr="001D196D" w:rsidRDefault="00EA37B2" w:rsidP="00704B89">
            <w:pPr>
              <w:rPr>
                <w:b/>
                <w:color w:val="FF0000"/>
              </w:rPr>
            </w:pPr>
            <w:r>
              <w:rPr>
                <w:b/>
                <w:color w:val="FF0000"/>
              </w:rPr>
              <w:t xml:space="preserve">I have deleted these parameters from the list of the service provider FR because this </w:t>
            </w:r>
            <w:proofErr w:type="gramStart"/>
            <w:r>
              <w:rPr>
                <w:b/>
                <w:color w:val="FF0000"/>
              </w:rPr>
              <w:t>is controlled</w:t>
            </w:r>
            <w:proofErr w:type="gramEnd"/>
            <w:r>
              <w:rPr>
                <w:b/>
                <w:color w:val="FF0000"/>
              </w:rPr>
              <w:t xml:space="preserve"> by the complex </w:t>
            </w:r>
            <w:proofErr w:type="spellStart"/>
            <w:r w:rsidRPr="00EA37B2">
              <w:rPr>
                <w:b/>
                <w:color w:val="FF0000"/>
              </w:rPr>
              <w:t>fwdTcPlopSyncClcwEvaluation</w:t>
            </w:r>
            <w:proofErr w:type="spellEnd"/>
            <w:r>
              <w:rPr>
                <w:b/>
                <w:color w:val="FF0000"/>
              </w:rPr>
              <w:t xml:space="preserve"> parameter</w:t>
            </w:r>
            <w:r w:rsidR="00704B89">
              <w:rPr>
                <w:b/>
                <w:color w:val="FF0000"/>
              </w:rPr>
              <w:t xml:space="preserve"> </w:t>
            </w:r>
            <w:r>
              <w:rPr>
                <w:b/>
                <w:color w:val="FF0000"/>
              </w:rPr>
              <w:t xml:space="preserve">of the </w:t>
            </w:r>
            <w:proofErr w:type="spellStart"/>
            <w:r w:rsidRPr="00EA37B2">
              <w:rPr>
                <w:b/>
                <w:color w:val="FF0000"/>
              </w:rPr>
              <w:t>FwdTcPlopSyncAndChnlEncode</w:t>
            </w:r>
            <w:proofErr w:type="spellEnd"/>
            <w:r>
              <w:rPr>
                <w:b/>
                <w:color w:val="FF0000"/>
              </w:rPr>
              <w:t xml:space="preserve"> FR. This might be confusing when reading the related</w:t>
            </w:r>
            <w:r w:rsidR="00B53765">
              <w:rPr>
                <w:b/>
                <w:color w:val="FF0000"/>
              </w:rPr>
              <w:t xml:space="preserve"> annex of the F-CLTU Blue Book. Shall we keep th</w:t>
            </w:r>
            <w:r w:rsidR="00704B89">
              <w:rPr>
                <w:b/>
                <w:color w:val="FF0000"/>
              </w:rPr>
              <w:t>is</w:t>
            </w:r>
            <w:r w:rsidR="00B53765">
              <w:rPr>
                <w:b/>
                <w:color w:val="FF0000"/>
              </w:rPr>
              <w:t xml:space="preserve"> parameter as monitored parameters of the </w:t>
            </w:r>
            <w:proofErr w:type="spellStart"/>
            <w:r w:rsidR="00B53765" w:rsidRPr="00B53765">
              <w:rPr>
                <w:b/>
                <w:color w:val="FF0000"/>
              </w:rPr>
              <w:t>FwdCltuTsProvider</w:t>
            </w:r>
            <w:proofErr w:type="spellEnd"/>
            <w:r w:rsidR="00B53765">
              <w:rPr>
                <w:b/>
                <w:color w:val="FF0000"/>
              </w:rPr>
              <w:t xml:space="preserve"> FR?</w:t>
            </w:r>
          </w:p>
        </w:tc>
        <w:tc>
          <w:tcPr>
            <w:tcW w:w="2635" w:type="dxa"/>
            <w:noWrap/>
          </w:tcPr>
          <w:p w:rsidR="00EA37B2" w:rsidRPr="001D196D" w:rsidRDefault="00B53765" w:rsidP="00433A19">
            <w:pPr>
              <w:rPr>
                <w:b/>
                <w:color w:val="FF0000"/>
              </w:rPr>
            </w:pPr>
            <w:r w:rsidRPr="001D196D">
              <w:rPr>
                <w:b/>
                <w:color w:val="FF0000"/>
              </w:rPr>
              <w:t>WH 190807</w:t>
            </w:r>
          </w:p>
        </w:tc>
        <w:tc>
          <w:tcPr>
            <w:tcW w:w="1467" w:type="dxa"/>
            <w:noWrap/>
          </w:tcPr>
          <w:p w:rsidR="00EA37B2" w:rsidRPr="001D196D" w:rsidRDefault="00EA37B2" w:rsidP="00433A19">
            <w:pPr>
              <w:rPr>
                <w:b/>
                <w:color w:val="FF0000"/>
              </w:rPr>
            </w:pPr>
          </w:p>
        </w:tc>
        <w:tc>
          <w:tcPr>
            <w:tcW w:w="710" w:type="dxa"/>
            <w:noWrap/>
          </w:tcPr>
          <w:p w:rsidR="00EA37B2" w:rsidRDefault="00B53765" w:rsidP="00433A19">
            <w:pPr>
              <w:rPr>
                <w:b/>
                <w:color w:val="FF0000"/>
              </w:rPr>
            </w:pPr>
            <w:r>
              <w:rPr>
                <w:b/>
                <w:color w:val="FF0000"/>
              </w:rPr>
              <w:t>O</w:t>
            </w:r>
          </w:p>
        </w:tc>
      </w:tr>
      <w:tr w:rsidR="00CE4C4B" w:rsidRPr="00CE6434" w:rsidTr="00433A19">
        <w:trPr>
          <w:trHeight w:val="1200"/>
        </w:trPr>
        <w:tc>
          <w:tcPr>
            <w:tcW w:w="2967" w:type="dxa"/>
            <w:noWrap/>
          </w:tcPr>
          <w:p w:rsidR="00CE4C4B" w:rsidRPr="00EA37B2" w:rsidRDefault="000A0DAC" w:rsidP="00433A19">
            <w:pPr>
              <w:rPr>
                <w:b/>
                <w:color w:val="FF0000"/>
              </w:rPr>
            </w:pPr>
            <w:proofErr w:type="spellStart"/>
            <w:r>
              <w:rPr>
                <w:b/>
                <w:color w:val="FF0000"/>
              </w:rPr>
              <w:t>ServiceInstanceIdentifier</w:t>
            </w:r>
            <w:proofErr w:type="spellEnd"/>
            <w:r w:rsidR="00CE4C4B">
              <w:rPr>
                <w:b/>
                <w:color w:val="FF0000"/>
              </w:rPr>
              <w:t xml:space="preserve"> parameter should be configured</w:t>
            </w:r>
          </w:p>
        </w:tc>
        <w:tc>
          <w:tcPr>
            <w:tcW w:w="5171" w:type="dxa"/>
          </w:tcPr>
          <w:p w:rsidR="00CE4C4B" w:rsidRDefault="00CE4C4B" w:rsidP="000A0DAC">
            <w:pPr>
              <w:rPr>
                <w:b/>
                <w:color w:val="FF0000"/>
              </w:rPr>
            </w:pPr>
            <w:proofErr w:type="spellStart"/>
            <w:r>
              <w:rPr>
                <w:b/>
                <w:color w:val="FF0000"/>
              </w:rPr>
              <w:t>ServiceInstanceIdentifier</w:t>
            </w:r>
            <w:proofErr w:type="spellEnd"/>
            <w:r>
              <w:rPr>
                <w:b/>
                <w:color w:val="FF0000"/>
              </w:rPr>
              <w:t xml:space="preserve"> should be </w:t>
            </w:r>
            <w:r w:rsidR="000A0DAC">
              <w:rPr>
                <w:b/>
                <w:color w:val="FF0000"/>
              </w:rPr>
              <w:t xml:space="preserve">a </w:t>
            </w:r>
            <w:r>
              <w:rPr>
                <w:b/>
                <w:color w:val="FF0000"/>
              </w:rPr>
              <w:t xml:space="preserve">configured parameter </w:t>
            </w:r>
            <w:r w:rsidR="000A0DAC">
              <w:rPr>
                <w:b/>
                <w:color w:val="FF0000"/>
              </w:rPr>
              <w:t xml:space="preserve">but it </w:t>
            </w:r>
            <w:proofErr w:type="gramStart"/>
            <w:r w:rsidR="000A0DAC">
              <w:rPr>
                <w:b/>
                <w:color w:val="FF0000"/>
              </w:rPr>
              <w:t>is</w:t>
            </w:r>
            <w:r>
              <w:rPr>
                <w:b/>
                <w:color w:val="FF0000"/>
              </w:rPr>
              <w:t xml:space="preserve"> currentl</w:t>
            </w:r>
            <w:bookmarkStart w:id="0" w:name="_GoBack"/>
            <w:bookmarkEnd w:id="0"/>
            <w:r>
              <w:rPr>
                <w:b/>
                <w:color w:val="FF0000"/>
              </w:rPr>
              <w:t>y listed</w:t>
            </w:r>
            <w:proofErr w:type="gramEnd"/>
            <w:r>
              <w:rPr>
                <w:b/>
                <w:color w:val="FF0000"/>
              </w:rPr>
              <w:t xml:space="preserve"> as not configured. </w:t>
            </w:r>
          </w:p>
        </w:tc>
        <w:tc>
          <w:tcPr>
            <w:tcW w:w="2635" w:type="dxa"/>
            <w:noWrap/>
          </w:tcPr>
          <w:p w:rsidR="00CE4C4B" w:rsidRPr="001D196D" w:rsidRDefault="00CE4C4B" w:rsidP="00433A19">
            <w:pPr>
              <w:rPr>
                <w:b/>
                <w:color w:val="FF0000"/>
              </w:rPr>
            </w:pPr>
            <w:r>
              <w:rPr>
                <w:b/>
                <w:color w:val="FF0000"/>
              </w:rPr>
              <w:t>JP-191104</w:t>
            </w:r>
          </w:p>
        </w:tc>
        <w:tc>
          <w:tcPr>
            <w:tcW w:w="1467" w:type="dxa"/>
            <w:noWrap/>
          </w:tcPr>
          <w:p w:rsidR="00CE4C4B" w:rsidRPr="001D196D" w:rsidRDefault="00CE4C4B" w:rsidP="00433A19">
            <w:pPr>
              <w:rPr>
                <w:b/>
                <w:color w:val="FF0000"/>
              </w:rPr>
            </w:pPr>
          </w:p>
        </w:tc>
        <w:tc>
          <w:tcPr>
            <w:tcW w:w="710" w:type="dxa"/>
            <w:noWrap/>
          </w:tcPr>
          <w:p w:rsidR="00CE4C4B" w:rsidRDefault="00CE4C4B" w:rsidP="00433A19">
            <w:pPr>
              <w:rPr>
                <w:b/>
                <w:color w:val="FF0000"/>
              </w:rPr>
            </w:pPr>
            <w:r>
              <w:rPr>
                <w:b/>
                <w:color w:val="FF0000"/>
              </w:rPr>
              <w:t>O</w:t>
            </w:r>
          </w:p>
        </w:tc>
      </w:tr>
    </w:tbl>
    <w:p w:rsidR="00CE6434" w:rsidRDefault="00CE6434" w:rsidP="00CF1563"/>
    <w:p w:rsidR="00CE6434" w:rsidRDefault="00CE6434" w:rsidP="00CF1563"/>
    <w:p w:rsidR="00F97AFB" w:rsidRPr="00F97AFB" w:rsidRDefault="00F97AFB" w:rsidP="00F97AFB">
      <w:pPr>
        <w:tabs>
          <w:tab w:val="left" w:pos="5445"/>
        </w:tabs>
      </w:pPr>
      <w:r>
        <w:tab/>
      </w:r>
    </w:p>
    <w:sectPr w:rsidR="00F97AFB" w:rsidRPr="00F97AFB" w:rsidSect="004971B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7B" w:rsidRDefault="00BB0A7B" w:rsidP="004971B1">
      <w:pPr>
        <w:spacing w:after="0" w:line="240" w:lineRule="auto"/>
      </w:pPr>
      <w:r>
        <w:separator/>
      </w:r>
    </w:p>
  </w:endnote>
  <w:endnote w:type="continuationSeparator" w:id="0">
    <w:p w:rsidR="00BB0A7B" w:rsidRDefault="00BB0A7B" w:rsidP="004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80109"/>
      <w:docPartObj>
        <w:docPartGallery w:val="Page Numbers (Bottom of Page)"/>
        <w:docPartUnique/>
      </w:docPartObj>
    </w:sdtPr>
    <w:sdtEndPr>
      <w:rPr>
        <w:noProof/>
      </w:rPr>
    </w:sdtEndPr>
    <w:sdtContent>
      <w:p w:rsidR="004971B1" w:rsidRDefault="004971B1">
        <w:pPr>
          <w:pStyle w:val="Footer"/>
          <w:jc w:val="center"/>
        </w:pPr>
        <w:r>
          <w:fldChar w:fldCharType="begin"/>
        </w:r>
        <w:r>
          <w:instrText xml:space="preserve"> PAGE   \* MERGEFORMAT </w:instrText>
        </w:r>
        <w:r>
          <w:fldChar w:fldCharType="separate"/>
        </w:r>
        <w:r w:rsidR="000A0DAC">
          <w:rPr>
            <w:noProof/>
          </w:rPr>
          <w:t>2</w:t>
        </w:r>
        <w:r>
          <w:rPr>
            <w:noProof/>
          </w:rPr>
          <w:fldChar w:fldCharType="end"/>
        </w:r>
      </w:p>
    </w:sdtContent>
  </w:sdt>
  <w:p w:rsidR="004971B1" w:rsidRDefault="0049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7B" w:rsidRDefault="00BB0A7B" w:rsidP="004971B1">
      <w:pPr>
        <w:spacing w:after="0" w:line="240" w:lineRule="auto"/>
      </w:pPr>
      <w:r>
        <w:separator/>
      </w:r>
    </w:p>
  </w:footnote>
  <w:footnote w:type="continuationSeparator" w:id="0">
    <w:p w:rsidR="00BB0A7B" w:rsidRDefault="00BB0A7B" w:rsidP="0049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B1" w:rsidRDefault="00CE6434" w:rsidP="00AF2176">
    <w:pPr>
      <w:pStyle w:val="Header"/>
      <w:tabs>
        <w:tab w:val="clear" w:pos="4680"/>
        <w:tab w:val="clear" w:pos="9360"/>
        <w:tab w:val="center" w:pos="6480"/>
        <w:tab w:val="right" w:pos="12780"/>
      </w:tabs>
    </w:pPr>
    <w:proofErr w:type="spellStart"/>
    <w:r>
      <w:rPr>
        <w:b/>
        <w:bCs/>
      </w:rPr>
      <w:t>F</w:t>
    </w:r>
    <w:r w:rsidR="00433A19">
      <w:rPr>
        <w:b/>
        <w:bCs/>
      </w:rPr>
      <w:t>wd</w:t>
    </w:r>
    <w:r>
      <w:rPr>
        <w:b/>
        <w:bCs/>
      </w:rPr>
      <w:t>CltuTsProvider</w:t>
    </w:r>
    <w:proofErr w:type="spellEnd"/>
    <w:r w:rsidR="00AF2176">
      <w:rPr>
        <w:b/>
        <w:bCs/>
      </w:rPr>
      <w:tab/>
    </w:r>
    <w:r w:rsidR="00AF2176">
      <w:rPr>
        <w:b/>
        <w:bCs/>
      </w:rPr>
      <w:tab/>
    </w:r>
    <w:r w:rsidR="00AF2176">
      <w:rPr>
        <w:b/>
        <w:bCs/>
      </w:rPr>
      <w:fldChar w:fldCharType="begin"/>
    </w:r>
    <w:r w:rsidR="00AF2176">
      <w:rPr>
        <w:b/>
        <w:bCs/>
      </w:rPr>
      <w:instrText xml:space="preserve"> FILENAME   \* MERGEFORMAT </w:instrText>
    </w:r>
    <w:r w:rsidR="00AF2176">
      <w:rPr>
        <w:b/>
        <w:bCs/>
      </w:rPr>
      <w:fldChar w:fldCharType="separate"/>
    </w:r>
    <w:r w:rsidR="00064BCB">
      <w:rPr>
        <w:b/>
        <w:bCs/>
        <w:noProof/>
      </w:rPr>
      <w:t>FCltuTsProvider-191104-JP.docx</w:t>
    </w:r>
    <w:r w:rsidR="00AF2176">
      <w:rPr>
        <w:b/>
        <w:bCs/>
      </w:rPr>
      <w:fldChar w:fldCharType="end"/>
    </w:r>
  </w:p>
  <w:p w:rsidR="004971B1" w:rsidRDefault="00497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B1"/>
    <w:rsid w:val="00064BCB"/>
    <w:rsid w:val="00081A62"/>
    <w:rsid w:val="000A0DAC"/>
    <w:rsid w:val="000B65BA"/>
    <w:rsid w:val="000D67FD"/>
    <w:rsid w:val="001346B6"/>
    <w:rsid w:val="00153C47"/>
    <w:rsid w:val="001802C5"/>
    <w:rsid w:val="001D196D"/>
    <w:rsid w:val="00225A0D"/>
    <w:rsid w:val="00276948"/>
    <w:rsid w:val="002A76FB"/>
    <w:rsid w:val="003729EE"/>
    <w:rsid w:val="003B3E68"/>
    <w:rsid w:val="004126BD"/>
    <w:rsid w:val="00433A19"/>
    <w:rsid w:val="004971B1"/>
    <w:rsid w:val="004D61E5"/>
    <w:rsid w:val="006053CD"/>
    <w:rsid w:val="00682063"/>
    <w:rsid w:val="00690DF6"/>
    <w:rsid w:val="006D0EA1"/>
    <w:rsid w:val="006D13FA"/>
    <w:rsid w:val="006F2CC0"/>
    <w:rsid w:val="00704B89"/>
    <w:rsid w:val="007E31E8"/>
    <w:rsid w:val="00801858"/>
    <w:rsid w:val="00802A81"/>
    <w:rsid w:val="00847EA8"/>
    <w:rsid w:val="0094010A"/>
    <w:rsid w:val="00946C25"/>
    <w:rsid w:val="009C1F6B"/>
    <w:rsid w:val="009C3D5F"/>
    <w:rsid w:val="00A22A5A"/>
    <w:rsid w:val="00AF2176"/>
    <w:rsid w:val="00B53765"/>
    <w:rsid w:val="00B9767D"/>
    <w:rsid w:val="00BB0A7B"/>
    <w:rsid w:val="00BE4CE2"/>
    <w:rsid w:val="00C54FE8"/>
    <w:rsid w:val="00C84EF6"/>
    <w:rsid w:val="00CD3789"/>
    <w:rsid w:val="00CE3269"/>
    <w:rsid w:val="00CE4C4B"/>
    <w:rsid w:val="00CE6434"/>
    <w:rsid w:val="00CF1563"/>
    <w:rsid w:val="00D735FD"/>
    <w:rsid w:val="00DF53E8"/>
    <w:rsid w:val="00E30955"/>
    <w:rsid w:val="00EA37B2"/>
    <w:rsid w:val="00ED5EC2"/>
    <w:rsid w:val="00F66081"/>
    <w:rsid w:val="00F97AFB"/>
    <w:rsid w:val="00FC0CF6"/>
    <w:rsid w:val="00FE1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C84E"/>
  <w15:chartTrackingRefBased/>
  <w15:docId w15:val="{3B683476-131A-4AD4-BF58-00ECB8BC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B1"/>
  </w:style>
  <w:style w:type="paragraph" w:styleId="Footer">
    <w:name w:val="footer"/>
    <w:basedOn w:val="Normal"/>
    <w:link w:val="FooterChar"/>
    <w:uiPriority w:val="99"/>
    <w:unhideWhenUsed/>
    <w:rsid w:val="0049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359">
      <w:bodyDiv w:val="1"/>
      <w:marLeft w:val="0"/>
      <w:marRight w:val="0"/>
      <w:marTop w:val="0"/>
      <w:marBottom w:val="0"/>
      <w:divBdr>
        <w:top w:val="none" w:sz="0" w:space="0" w:color="auto"/>
        <w:left w:val="none" w:sz="0" w:space="0" w:color="auto"/>
        <w:bottom w:val="none" w:sz="0" w:space="0" w:color="auto"/>
        <w:right w:val="none" w:sz="0" w:space="0" w:color="auto"/>
      </w:divBdr>
    </w:div>
    <w:div w:id="71663517">
      <w:bodyDiv w:val="1"/>
      <w:marLeft w:val="0"/>
      <w:marRight w:val="0"/>
      <w:marTop w:val="0"/>
      <w:marBottom w:val="0"/>
      <w:divBdr>
        <w:top w:val="none" w:sz="0" w:space="0" w:color="auto"/>
        <w:left w:val="none" w:sz="0" w:space="0" w:color="auto"/>
        <w:bottom w:val="none" w:sz="0" w:space="0" w:color="auto"/>
        <w:right w:val="none" w:sz="0" w:space="0" w:color="auto"/>
      </w:divBdr>
    </w:div>
    <w:div w:id="121194624">
      <w:bodyDiv w:val="1"/>
      <w:marLeft w:val="0"/>
      <w:marRight w:val="0"/>
      <w:marTop w:val="0"/>
      <w:marBottom w:val="0"/>
      <w:divBdr>
        <w:top w:val="none" w:sz="0" w:space="0" w:color="auto"/>
        <w:left w:val="none" w:sz="0" w:space="0" w:color="auto"/>
        <w:bottom w:val="none" w:sz="0" w:space="0" w:color="auto"/>
        <w:right w:val="none" w:sz="0" w:space="0" w:color="auto"/>
      </w:divBdr>
    </w:div>
    <w:div w:id="169609920">
      <w:bodyDiv w:val="1"/>
      <w:marLeft w:val="0"/>
      <w:marRight w:val="0"/>
      <w:marTop w:val="0"/>
      <w:marBottom w:val="0"/>
      <w:divBdr>
        <w:top w:val="none" w:sz="0" w:space="0" w:color="auto"/>
        <w:left w:val="none" w:sz="0" w:space="0" w:color="auto"/>
        <w:bottom w:val="none" w:sz="0" w:space="0" w:color="auto"/>
        <w:right w:val="none" w:sz="0" w:space="0" w:color="auto"/>
      </w:divBdr>
    </w:div>
    <w:div w:id="199440396">
      <w:bodyDiv w:val="1"/>
      <w:marLeft w:val="0"/>
      <w:marRight w:val="0"/>
      <w:marTop w:val="0"/>
      <w:marBottom w:val="0"/>
      <w:divBdr>
        <w:top w:val="none" w:sz="0" w:space="0" w:color="auto"/>
        <w:left w:val="none" w:sz="0" w:space="0" w:color="auto"/>
        <w:bottom w:val="none" w:sz="0" w:space="0" w:color="auto"/>
        <w:right w:val="none" w:sz="0" w:space="0" w:color="auto"/>
      </w:divBdr>
    </w:div>
    <w:div w:id="252976834">
      <w:bodyDiv w:val="1"/>
      <w:marLeft w:val="0"/>
      <w:marRight w:val="0"/>
      <w:marTop w:val="0"/>
      <w:marBottom w:val="0"/>
      <w:divBdr>
        <w:top w:val="none" w:sz="0" w:space="0" w:color="auto"/>
        <w:left w:val="none" w:sz="0" w:space="0" w:color="auto"/>
        <w:bottom w:val="none" w:sz="0" w:space="0" w:color="auto"/>
        <w:right w:val="none" w:sz="0" w:space="0" w:color="auto"/>
      </w:divBdr>
    </w:div>
    <w:div w:id="373580745">
      <w:bodyDiv w:val="1"/>
      <w:marLeft w:val="0"/>
      <w:marRight w:val="0"/>
      <w:marTop w:val="0"/>
      <w:marBottom w:val="0"/>
      <w:divBdr>
        <w:top w:val="none" w:sz="0" w:space="0" w:color="auto"/>
        <w:left w:val="none" w:sz="0" w:space="0" w:color="auto"/>
        <w:bottom w:val="none" w:sz="0" w:space="0" w:color="auto"/>
        <w:right w:val="none" w:sz="0" w:space="0" w:color="auto"/>
      </w:divBdr>
    </w:div>
    <w:div w:id="399210336">
      <w:bodyDiv w:val="1"/>
      <w:marLeft w:val="0"/>
      <w:marRight w:val="0"/>
      <w:marTop w:val="0"/>
      <w:marBottom w:val="0"/>
      <w:divBdr>
        <w:top w:val="none" w:sz="0" w:space="0" w:color="auto"/>
        <w:left w:val="none" w:sz="0" w:space="0" w:color="auto"/>
        <w:bottom w:val="none" w:sz="0" w:space="0" w:color="auto"/>
        <w:right w:val="none" w:sz="0" w:space="0" w:color="auto"/>
      </w:divBdr>
    </w:div>
    <w:div w:id="496851005">
      <w:bodyDiv w:val="1"/>
      <w:marLeft w:val="0"/>
      <w:marRight w:val="0"/>
      <w:marTop w:val="0"/>
      <w:marBottom w:val="0"/>
      <w:divBdr>
        <w:top w:val="none" w:sz="0" w:space="0" w:color="auto"/>
        <w:left w:val="none" w:sz="0" w:space="0" w:color="auto"/>
        <w:bottom w:val="none" w:sz="0" w:space="0" w:color="auto"/>
        <w:right w:val="none" w:sz="0" w:space="0" w:color="auto"/>
      </w:divBdr>
    </w:div>
    <w:div w:id="747728495">
      <w:bodyDiv w:val="1"/>
      <w:marLeft w:val="0"/>
      <w:marRight w:val="0"/>
      <w:marTop w:val="0"/>
      <w:marBottom w:val="0"/>
      <w:divBdr>
        <w:top w:val="none" w:sz="0" w:space="0" w:color="auto"/>
        <w:left w:val="none" w:sz="0" w:space="0" w:color="auto"/>
        <w:bottom w:val="none" w:sz="0" w:space="0" w:color="auto"/>
        <w:right w:val="none" w:sz="0" w:space="0" w:color="auto"/>
      </w:divBdr>
    </w:div>
    <w:div w:id="805901038">
      <w:bodyDiv w:val="1"/>
      <w:marLeft w:val="0"/>
      <w:marRight w:val="0"/>
      <w:marTop w:val="0"/>
      <w:marBottom w:val="0"/>
      <w:divBdr>
        <w:top w:val="none" w:sz="0" w:space="0" w:color="auto"/>
        <w:left w:val="none" w:sz="0" w:space="0" w:color="auto"/>
        <w:bottom w:val="none" w:sz="0" w:space="0" w:color="auto"/>
        <w:right w:val="none" w:sz="0" w:space="0" w:color="auto"/>
      </w:divBdr>
    </w:div>
    <w:div w:id="830102497">
      <w:bodyDiv w:val="1"/>
      <w:marLeft w:val="0"/>
      <w:marRight w:val="0"/>
      <w:marTop w:val="0"/>
      <w:marBottom w:val="0"/>
      <w:divBdr>
        <w:top w:val="none" w:sz="0" w:space="0" w:color="auto"/>
        <w:left w:val="none" w:sz="0" w:space="0" w:color="auto"/>
        <w:bottom w:val="none" w:sz="0" w:space="0" w:color="auto"/>
        <w:right w:val="none" w:sz="0" w:space="0" w:color="auto"/>
      </w:divBdr>
    </w:div>
    <w:div w:id="997807173">
      <w:bodyDiv w:val="1"/>
      <w:marLeft w:val="0"/>
      <w:marRight w:val="0"/>
      <w:marTop w:val="0"/>
      <w:marBottom w:val="0"/>
      <w:divBdr>
        <w:top w:val="none" w:sz="0" w:space="0" w:color="auto"/>
        <w:left w:val="none" w:sz="0" w:space="0" w:color="auto"/>
        <w:bottom w:val="none" w:sz="0" w:space="0" w:color="auto"/>
        <w:right w:val="none" w:sz="0" w:space="0" w:color="auto"/>
      </w:divBdr>
    </w:div>
    <w:div w:id="1106735271">
      <w:bodyDiv w:val="1"/>
      <w:marLeft w:val="0"/>
      <w:marRight w:val="0"/>
      <w:marTop w:val="0"/>
      <w:marBottom w:val="0"/>
      <w:divBdr>
        <w:top w:val="none" w:sz="0" w:space="0" w:color="auto"/>
        <w:left w:val="none" w:sz="0" w:space="0" w:color="auto"/>
        <w:bottom w:val="none" w:sz="0" w:space="0" w:color="auto"/>
        <w:right w:val="none" w:sz="0" w:space="0" w:color="auto"/>
      </w:divBdr>
    </w:div>
    <w:div w:id="1267616691">
      <w:bodyDiv w:val="1"/>
      <w:marLeft w:val="0"/>
      <w:marRight w:val="0"/>
      <w:marTop w:val="0"/>
      <w:marBottom w:val="0"/>
      <w:divBdr>
        <w:top w:val="none" w:sz="0" w:space="0" w:color="auto"/>
        <w:left w:val="none" w:sz="0" w:space="0" w:color="auto"/>
        <w:bottom w:val="none" w:sz="0" w:space="0" w:color="auto"/>
        <w:right w:val="none" w:sz="0" w:space="0" w:color="auto"/>
      </w:divBdr>
    </w:div>
    <w:div w:id="1300837379">
      <w:bodyDiv w:val="1"/>
      <w:marLeft w:val="0"/>
      <w:marRight w:val="0"/>
      <w:marTop w:val="0"/>
      <w:marBottom w:val="0"/>
      <w:divBdr>
        <w:top w:val="none" w:sz="0" w:space="0" w:color="auto"/>
        <w:left w:val="none" w:sz="0" w:space="0" w:color="auto"/>
        <w:bottom w:val="none" w:sz="0" w:space="0" w:color="auto"/>
        <w:right w:val="none" w:sz="0" w:space="0" w:color="auto"/>
      </w:divBdr>
    </w:div>
    <w:div w:id="1322470409">
      <w:bodyDiv w:val="1"/>
      <w:marLeft w:val="0"/>
      <w:marRight w:val="0"/>
      <w:marTop w:val="0"/>
      <w:marBottom w:val="0"/>
      <w:divBdr>
        <w:top w:val="none" w:sz="0" w:space="0" w:color="auto"/>
        <w:left w:val="none" w:sz="0" w:space="0" w:color="auto"/>
        <w:bottom w:val="none" w:sz="0" w:space="0" w:color="auto"/>
        <w:right w:val="none" w:sz="0" w:space="0" w:color="auto"/>
      </w:divBdr>
    </w:div>
    <w:div w:id="1515419586">
      <w:bodyDiv w:val="1"/>
      <w:marLeft w:val="0"/>
      <w:marRight w:val="0"/>
      <w:marTop w:val="0"/>
      <w:marBottom w:val="0"/>
      <w:divBdr>
        <w:top w:val="none" w:sz="0" w:space="0" w:color="auto"/>
        <w:left w:val="none" w:sz="0" w:space="0" w:color="auto"/>
        <w:bottom w:val="none" w:sz="0" w:space="0" w:color="auto"/>
        <w:right w:val="none" w:sz="0" w:space="0" w:color="auto"/>
      </w:divBdr>
    </w:div>
    <w:div w:id="15551222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82470801">
      <w:bodyDiv w:val="1"/>
      <w:marLeft w:val="0"/>
      <w:marRight w:val="0"/>
      <w:marTop w:val="0"/>
      <w:marBottom w:val="0"/>
      <w:divBdr>
        <w:top w:val="none" w:sz="0" w:space="0" w:color="auto"/>
        <w:left w:val="none" w:sz="0" w:space="0" w:color="auto"/>
        <w:bottom w:val="none" w:sz="0" w:space="0" w:color="auto"/>
        <w:right w:val="none" w:sz="0" w:space="0" w:color="auto"/>
      </w:divBdr>
    </w:div>
    <w:div w:id="1832062916">
      <w:bodyDiv w:val="1"/>
      <w:marLeft w:val="0"/>
      <w:marRight w:val="0"/>
      <w:marTop w:val="0"/>
      <w:marBottom w:val="0"/>
      <w:divBdr>
        <w:top w:val="none" w:sz="0" w:space="0" w:color="auto"/>
        <w:left w:val="none" w:sz="0" w:space="0" w:color="auto"/>
        <w:bottom w:val="none" w:sz="0" w:space="0" w:color="auto"/>
        <w:right w:val="none" w:sz="0" w:space="0" w:color="auto"/>
      </w:divBdr>
    </w:div>
    <w:div w:id="1879269796">
      <w:bodyDiv w:val="1"/>
      <w:marLeft w:val="0"/>
      <w:marRight w:val="0"/>
      <w:marTop w:val="0"/>
      <w:marBottom w:val="0"/>
      <w:divBdr>
        <w:top w:val="none" w:sz="0" w:space="0" w:color="auto"/>
        <w:left w:val="none" w:sz="0" w:space="0" w:color="auto"/>
        <w:bottom w:val="none" w:sz="0" w:space="0" w:color="auto"/>
        <w:right w:val="none" w:sz="0" w:space="0" w:color="auto"/>
      </w:divBdr>
    </w:div>
    <w:div w:id="1904562905">
      <w:bodyDiv w:val="1"/>
      <w:marLeft w:val="0"/>
      <w:marRight w:val="0"/>
      <w:marTop w:val="0"/>
      <w:marBottom w:val="0"/>
      <w:divBdr>
        <w:top w:val="none" w:sz="0" w:space="0" w:color="auto"/>
        <w:left w:val="none" w:sz="0" w:space="0" w:color="auto"/>
        <w:bottom w:val="none" w:sz="0" w:space="0" w:color="auto"/>
        <w:right w:val="none" w:sz="0" w:space="0" w:color="auto"/>
      </w:divBdr>
    </w:div>
    <w:div w:id="2085108438">
      <w:bodyDiv w:val="1"/>
      <w:marLeft w:val="0"/>
      <w:marRight w:val="0"/>
      <w:marTop w:val="0"/>
      <w:marBottom w:val="0"/>
      <w:divBdr>
        <w:top w:val="none" w:sz="0" w:space="0" w:color="auto"/>
        <w:left w:val="none" w:sz="0" w:space="0" w:color="auto"/>
        <w:bottom w:val="none" w:sz="0" w:space="0" w:color="auto"/>
        <w:right w:val="none" w:sz="0" w:space="0" w:color="auto"/>
      </w:divBdr>
    </w:div>
    <w:div w:id="2089767350">
      <w:bodyDiv w:val="1"/>
      <w:marLeft w:val="0"/>
      <w:marRight w:val="0"/>
      <w:marTop w:val="0"/>
      <w:marBottom w:val="0"/>
      <w:divBdr>
        <w:top w:val="none" w:sz="0" w:space="0" w:color="auto"/>
        <w:left w:val="none" w:sz="0" w:space="0" w:color="auto"/>
        <w:bottom w:val="none" w:sz="0" w:space="0" w:color="auto"/>
        <w:right w:val="none" w:sz="0" w:space="0" w:color="auto"/>
      </w:divBdr>
    </w:div>
    <w:div w:id="2098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5</cp:revision>
  <dcterms:created xsi:type="dcterms:W3CDTF">2019-11-04T15:07:00Z</dcterms:created>
  <dcterms:modified xsi:type="dcterms:W3CDTF">2019-11-04T15:12:00Z</dcterms:modified>
</cp:coreProperties>
</file>