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9"/>
        <w:gridCol w:w="5480"/>
        <w:gridCol w:w="2786"/>
        <w:gridCol w:w="1545"/>
      </w:tblGrid>
      <w:tr w:rsidR="00CE6434" w:rsidRPr="00CE6434" w:rsidTr="00CE6434">
        <w:trPr>
          <w:trHeight w:val="300"/>
        </w:trPr>
        <w:tc>
          <w:tcPr>
            <w:tcW w:w="4360" w:type="dxa"/>
            <w:noWrap/>
            <w:hideMark/>
          </w:tcPr>
          <w:p w:rsidR="00CE6434" w:rsidRPr="00CE6434" w:rsidRDefault="0015539F" w:rsidP="00CE64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Forward Frame CSTS </w:t>
            </w:r>
            <w:r w:rsidR="00CE6434" w:rsidRPr="00CE6434">
              <w:rPr>
                <w:b/>
                <w:bCs/>
              </w:rPr>
              <w:t>Provider</w:t>
            </w:r>
          </w:p>
        </w:tc>
        <w:tc>
          <w:tcPr>
            <w:tcW w:w="7680" w:type="dxa"/>
            <w:noWrap/>
            <w:hideMark/>
          </w:tcPr>
          <w:p w:rsidR="00CE6434" w:rsidRPr="00CE6434" w:rsidRDefault="00CE6434" w:rsidP="009C53BE">
            <w:pPr>
              <w:rPr>
                <w:b/>
                <w:bCs/>
              </w:rPr>
            </w:pPr>
            <w:r w:rsidRPr="00CE6434">
              <w:rPr>
                <w:b/>
                <w:bCs/>
              </w:rPr>
              <w:t>Creator = CS</w:t>
            </w:r>
            <w:r w:rsidR="009C53BE">
              <w:rPr>
                <w:b/>
                <w:bCs/>
              </w:rPr>
              <w:t>TSWG</w:t>
            </w:r>
          </w:p>
        </w:tc>
        <w:tc>
          <w:tcPr>
            <w:tcW w:w="3860" w:type="dxa"/>
            <w:noWrap/>
            <w:hideMark/>
          </w:tcPr>
          <w:p w:rsidR="00CE6434" w:rsidRPr="00CE6434" w:rsidRDefault="00CE6434" w:rsidP="009C53BE">
            <w:pPr>
              <w:rPr>
                <w:b/>
                <w:bCs/>
              </w:rPr>
            </w:pPr>
            <w:r w:rsidRPr="00CE6434">
              <w:rPr>
                <w:b/>
                <w:bCs/>
              </w:rPr>
              <w:t xml:space="preserve">Editor = </w:t>
            </w:r>
            <w:r w:rsidR="009C53BE">
              <w:rPr>
                <w:b/>
                <w:bCs/>
              </w:rPr>
              <w:t>John</w:t>
            </w:r>
          </w:p>
        </w:tc>
        <w:tc>
          <w:tcPr>
            <w:tcW w:w="2100" w:type="dxa"/>
            <w:noWrap/>
            <w:hideMark/>
          </w:tcPr>
          <w:p w:rsidR="00CE6434" w:rsidRPr="00CE6434" w:rsidRDefault="00CE6434" w:rsidP="00CE6434">
            <w:pPr>
              <w:rPr>
                <w:b/>
                <w:bCs/>
              </w:rPr>
            </w:pPr>
            <w:r w:rsidRPr="00CE6434">
              <w:rPr>
                <w:b/>
                <w:bCs/>
              </w:rPr>
              <w:t xml:space="preserve">Reviewer </w:t>
            </w:r>
            <w:proofErr w:type="gramStart"/>
            <w:r w:rsidRPr="00CE6434">
              <w:rPr>
                <w:b/>
                <w:bCs/>
              </w:rPr>
              <w:t>= ??</w:t>
            </w:r>
            <w:proofErr w:type="gramEnd"/>
          </w:p>
        </w:tc>
      </w:tr>
      <w:tr w:rsidR="00CE6434" w:rsidRPr="00CE6434" w:rsidTr="00CE6434">
        <w:trPr>
          <w:trHeight w:val="300"/>
        </w:trPr>
        <w:tc>
          <w:tcPr>
            <w:tcW w:w="18000" w:type="dxa"/>
            <w:gridSpan w:val="4"/>
            <w:noWrap/>
            <w:hideMark/>
          </w:tcPr>
          <w:p w:rsidR="00CE6434" w:rsidRPr="00CE6434" w:rsidRDefault="00CE6434">
            <w:pPr>
              <w:rPr>
                <w:b/>
                <w:bCs/>
              </w:rPr>
            </w:pPr>
            <w:r w:rsidRPr="00CE6434">
              <w:rPr>
                <w:b/>
                <w:bCs/>
              </w:rPr>
              <w:t>Status:</w:t>
            </w:r>
            <w:r w:rsidR="009C53BE">
              <w:rPr>
                <w:b/>
                <w:bCs/>
              </w:rPr>
              <w:t xml:space="preserve"> </w:t>
            </w:r>
            <w:r w:rsidR="005057F4">
              <w:rPr>
                <w:b/>
                <w:bCs/>
              </w:rPr>
              <w:t xml:space="preserve">20191024. </w:t>
            </w:r>
            <w:r w:rsidR="009C53BE">
              <w:rPr>
                <w:b/>
                <w:bCs/>
              </w:rPr>
              <w:t>The FRM XML file currently has n content, but the Functional Resource Reference Model Tech Note has proposed content</w:t>
            </w:r>
          </w:p>
        </w:tc>
      </w:tr>
    </w:tbl>
    <w:p w:rsidR="00C54FE8" w:rsidRDefault="00C54FE8" w:rsidP="00CF15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7"/>
        <w:gridCol w:w="5171"/>
        <w:gridCol w:w="2635"/>
        <w:gridCol w:w="1467"/>
        <w:gridCol w:w="710"/>
      </w:tblGrid>
      <w:tr w:rsidR="00CE6434" w:rsidRPr="00CE6434" w:rsidTr="009C53BE">
        <w:trPr>
          <w:trHeight w:val="300"/>
          <w:tblHeader/>
        </w:trPr>
        <w:tc>
          <w:tcPr>
            <w:tcW w:w="2967" w:type="dxa"/>
            <w:noWrap/>
            <w:hideMark/>
          </w:tcPr>
          <w:p w:rsidR="00CE6434" w:rsidRPr="00CE6434" w:rsidRDefault="00CE6434" w:rsidP="00CE6434">
            <w:pPr>
              <w:rPr>
                <w:b/>
                <w:bCs/>
              </w:rPr>
            </w:pPr>
            <w:r w:rsidRPr="00CE6434">
              <w:rPr>
                <w:b/>
                <w:bCs/>
              </w:rPr>
              <w:t>Issue Short Title</w:t>
            </w:r>
          </w:p>
        </w:tc>
        <w:tc>
          <w:tcPr>
            <w:tcW w:w="5171" w:type="dxa"/>
            <w:noWrap/>
            <w:hideMark/>
          </w:tcPr>
          <w:p w:rsidR="00CE6434" w:rsidRPr="00CE6434" w:rsidRDefault="00CE6434" w:rsidP="00CE6434">
            <w:pPr>
              <w:rPr>
                <w:b/>
                <w:bCs/>
              </w:rPr>
            </w:pPr>
            <w:r w:rsidRPr="00CE6434">
              <w:rPr>
                <w:b/>
                <w:bCs/>
              </w:rPr>
              <w:t>Issue Description/Discussion</w:t>
            </w:r>
          </w:p>
        </w:tc>
        <w:tc>
          <w:tcPr>
            <w:tcW w:w="2635" w:type="dxa"/>
            <w:noWrap/>
            <w:hideMark/>
          </w:tcPr>
          <w:p w:rsidR="00CE6434" w:rsidRPr="00CE6434" w:rsidRDefault="00CE6434" w:rsidP="00CE6434">
            <w:pPr>
              <w:rPr>
                <w:b/>
                <w:bCs/>
              </w:rPr>
            </w:pPr>
            <w:r w:rsidRPr="00CE6434">
              <w:rPr>
                <w:b/>
                <w:bCs/>
              </w:rPr>
              <w:t>Source</w:t>
            </w:r>
          </w:p>
        </w:tc>
        <w:tc>
          <w:tcPr>
            <w:tcW w:w="1467" w:type="dxa"/>
            <w:noWrap/>
            <w:hideMark/>
          </w:tcPr>
          <w:p w:rsidR="00CE6434" w:rsidRPr="00CE6434" w:rsidRDefault="00CE6434" w:rsidP="00CE6434">
            <w:pPr>
              <w:rPr>
                <w:b/>
                <w:bCs/>
              </w:rPr>
            </w:pPr>
            <w:r w:rsidRPr="00CE6434">
              <w:rPr>
                <w:b/>
                <w:bCs/>
              </w:rPr>
              <w:t>Status</w:t>
            </w:r>
          </w:p>
        </w:tc>
        <w:tc>
          <w:tcPr>
            <w:tcW w:w="710" w:type="dxa"/>
            <w:noWrap/>
            <w:hideMark/>
          </w:tcPr>
          <w:p w:rsidR="00CE6434" w:rsidRPr="00CE6434" w:rsidRDefault="00CE6434" w:rsidP="00CE6434">
            <w:pPr>
              <w:rPr>
                <w:b/>
                <w:bCs/>
              </w:rPr>
            </w:pPr>
            <w:r w:rsidRPr="00CE6434">
              <w:rPr>
                <w:b/>
                <w:bCs/>
              </w:rPr>
              <w:t>O/C</w:t>
            </w:r>
          </w:p>
        </w:tc>
      </w:tr>
      <w:tr w:rsidR="00CE6434" w:rsidRPr="00CE6434" w:rsidTr="009C53BE">
        <w:trPr>
          <w:trHeight w:val="1200"/>
        </w:trPr>
        <w:tc>
          <w:tcPr>
            <w:tcW w:w="2967" w:type="dxa"/>
            <w:noWrap/>
            <w:hideMark/>
          </w:tcPr>
          <w:p w:rsidR="00CE6434" w:rsidRPr="005057F4" w:rsidRDefault="00CE6434">
            <w:pPr>
              <w:rPr>
                <w:color w:val="538135" w:themeColor="accent6" w:themeShade="BF"/>
              </w:rPr>
            </w:pPr>
            <w:proofErr w:type="gramStart"/>
            <w:r w:rsidRPr="005057F4">
              <w:rPr>
                <w:color w:val="538135" w:themeColor="accent6" w:themeShade="BF"/>
              </w:rPr>
              <w:t>network</w:t>
            </w:r>
            <w:proofErr w:type="gramEnd"/>
            <w:r w:rsidRPr="005057F4">
              <w:rPr>
                <w:color w:val="538135" w:themeColor="accent6" w:themeShade="BF"/>
              </w:rPr>
              <w:t xml:space="preserve"> and ISP-1 parameters?</w:t>
            </w:r>
          </w:p>
        </w:tc>
        <w:tc>
          <w:tcPr>
            <w:tcW w:w="5171" w:type="dxa"/>
            <w:hideMark/>
          </w:tcPr>
          <w:p w:rsidR="00CE6434" w:rsidRPr="005057F4" w:rsidRDefault="00CE6434">
            <w:pPr>
              <w:rPr>
                <w:color w:val="538135" w:themeColor="accent6" w:themeShade="BF"/>
              </w:rPr>
            </w:pPr>
            <w:r w:rsidRPr="005057F4">
              <w:rPr>
                <w:color w:val="538135" w:themeColor="accent6" w:themeShade="BF"/>
              </w:rPr>
              <w:t>To complete the full communicatio</w:t>
            </w:r>
            <w:r w:rsidR="009C53BE" w:rsidRPr="005057F4">
              <w:rPr>
                <w:color w:val="538135" w:themeColor="accent6" w:themeShade="BF"/>
              </w:rPr>
              <w:t>n</w:t>
            </w:r>
            <w:r w:rsidRPr="005057F4">
              <w:rPr>
                <w:color w:val="538135" w:themeColor="accent6" w:themeShade="BF"/>
              </w:rPr>
              <w:t xml:space="preserve"> profile, IP addresses, </w:t>
            </w:r>
            <w:proofErr w:type="gramStart"/>
            <w:r w:rsidRPr="005057F4">
              <w:rPr>
                <w:color w:val="538135" w:themeColor="accent6" w:themeShade="BF"/>
              </w:rPr>
              <w:t>ports ,</w:t>
            </w:r>
            <w:proofErr w:type="gramEnd"/>
            <w:r w:rsidRPr="005057F4">
              <w:rPr>
                <w:color w:val="538135" w:themeColor="accent6" w:themeShade="BF"/>
              </w:rPr>
              <w:t xml:space="preserve"> and ISP-1 param</w:t>
            </w:r>
            <w:r w:rsidR="009C53BE" w:rsidRPr="005057F4">
              <w:rPr>
                <w:color w:val="538135" w:themeColor="accent6" w:themeShade="BF"/>
              </w:rPr>
              <w:t>e</w:t>
            </w:r>
            <w:r w:rsidRPr="005057F4">
              <w:rPr>
                <w:color w:val="538135" w:themeColor="accent6" w:themeShade="BF"/>
              </w:rPr>
              <w:t xml:space="preserve">ters must be configured. Should these be added to the FR </w:t>
            </w:r>
            <w:proofErr w:type="spellStart"/>
            <w:r w:rsidRPr="005057F4">
              <w:rPr>
                <w:color w:val="538135" w:themeColor="accent6" w:themeShade="BF"/>
              </w:rPr>
              <w:t>config</w:t>
            </w:r>
            <w:proofErr w:type="spellEnd"/>
            <w:r w:rsidRPr="005057F4">
              <w:rPr>
                <w:color w:val="538135" w:themeColor="accent6" w:themeShade="BF"/>
              </w:rPr>
              <w:t xml:space="preserve"> parameters? If not here, how should this be addressed (e.g., as a separate, protocol-specific "connection" FR type)?</w:t>
            </w:r>
          </w:p>
          <w:p w:rsidR="005057F4" w:rsidRPr="005057F4" w:rsidRDefault="005057F4">
            <w:pPr>
              <w:rPr>
                <w:color w:val="538135" w:themeColor="accent6" w:themeShade="BF"/>
              </w:rPr>
            </w:pPr>
          </w:p>
          <w:p w:rsidR="005057F4" w:rsidRPr="005057F4" w:rsidRDefault="005057F4">
            <w:pPr>
              <w:rPr>
                <w:color w:val="538135" w:themeColor="accent6" w:themeShade="BF"/>
              </w:rPr>
            </w:pPr>
            <w:r w:rsidRPr="005057F4">
              <w:rPr>
                <w:b/>
                <w:color w:val="538135" w:themeColor="accent6" w:themeShade="BF"/>
              </w:rPr>
              <w:t>191024 JP – We agreed that network, ISP-1, and transfer-service identification information (</w:t>
            </w:r>
            <w:proofErr w:type="spellStart"/>
            <w:r w:rsidRPr="005057F4">
              <w:rPr>
                <w:b/>
                <w:color w:val="538135" w:themeColor="accent6" w:themeShade="BF"/>
              </w:rPr>
              <w:t>initiatorId</w:t>
            </w:r>
            <w:proofErr w:type="spellEnd"/>
            <w:r w:rsidRPr="005057F4">
              <w:rPr>
                <w:b/>
                <w:color w:val="538135" w:themeColor="accent6" w:themeShade="BF"/>
              </w:rPr>
              <w:t xml:space="preserve">, </w:t>
            </w:r>
            <w:proofErr w:type="spellStart"/>
            <w:r w:rsidRPr="005057F4">
              <w:rPr>
                <w:b/>
                <w:color w:val="538135" w:themeColor="accent6" w:themeShade="BF"/>
              </w:rPr>
              <w:t>responderId</w:t>
            </w:r>
            <w:proofErr w:type="spellEnd"/>
            <w:r w:rsidRPr="005057F4">
              <w:rPr>
                <w:b/>
                <w:color w:val="538135" w:themeColor="accent6" w:themeShade="BF"/>
              </w:rPr>
              <w:t xml:space="preserve">, and </w:t>
            </w:r>
            <w:proofErr w:type="spellStart"/>
            <w:r w:rsidRPr="005057F4">
              <w:rPr>
                <w:b/>
                <w:color w:val="538135" w:themeColor="accent6" w:themeShade="BF"/>
              </w:rPr>
              <w:t>responderPortId</w:t>
            </w:r>
            <w:proofErr w:type="spellEnd"/>
            <w:r w:rsidRPr="005057F4">
              <w:rPr>
                <w:b/>
                <w:color w:val="538135" w:themeColor="accent6" w:themeShade="BF"/>
              </w:rPr>
              <w:t xml:space="preserve">) would be maintained via some “other” mechanism and not be accessible via the </w:t>
            </w:r>
            <w:proofErr w:type="spellStart"/>
            <w:r w:rsidRPr="005057F4">
              <w:rPr>
                <w:b/>
                <w:color w:val="538135" w:themeColor="accent6" w:themeShade="BF"/>
              </w:rPr>
              <w:t>FRs.</w:t>
            </w:r>
            <w:proofErr w:type="spellEnd"/>
            <w:r w:rsidRPr="005057F4">
              <w:rPr>
                <w:b/>
                <w:color w:val="538135" w:themeColor="accent6" w:themeShade="BF"/>
              </w:rPr>
              <w:t xml:space="preserve"> However, the </w:t>
            </w:r>
            <w:proofErr w:type="spellStart"/>
            <w:r w:rsidRPr="005057F4">
              <w:rPr>
                <w:b/>
                <w:color w:val="538135" w:themeColor="accent6" w:themeShade="BF"/>
              </w:rPr>
              <w:t>serviceInstanceId</w:t>
            </w:r>
            <w:proofErr w:type="spellEnd"/>
            <w:r w:rsidRPr="005057F4">
              <w:rPr>
                <w:b/>
                <w:color w:val="538135" w:themeColor="accent6" w:themeShade="BF"/>
              </w:rPr>
              <w:t xml:space="preserve"> parameter </w:t>
            </w:r>
            <w:r w:rsidRPr="005057F4">
              <w:rPr>
                <w:b/>
                <w:color w:val="538135" w:themeColor="accent6" w:themeShade="BF"/>
                <w:u w:val="single"/>
              </w:rPr>
              <w:t>is</w:t>
            </w:r>
            <w:r w:rsidRPr="005057F4">
              <w:rPr>
                <w:b/>
                <w:color w:val="538135" w:themeColor="accent6" w:themeShade="BF"/>
              </w:rPr>
              <w:t xml:space="preserve"> a configured parameter of the FR instance, and services the “key” into the “other” database that contains the aforementioned network, ISP-1, and transfer-service identification information. This concept needs to </w:t>
            </w:r>
            <w:proofErr w:type="gramStart"/>
            <w:r w:rsidRPr="005057F4">
              <w:rPr>
                <w:b/>
                <w:color w:val="538135" w:themeColor="accent6" w:themeShade="BF"/>
              </w:rPr>
              <w:t>be addressed</w:t>
            </w:r>
            <w:proofErr w:type="gramEnd"/>
            <w:r w:rsidRPr="005057F4">
              <w:rPr>
                <w:b/>
                <w:color w:val="538135" w:themeColor="accent6" w:themeShade="BF"/>
              </w:rPr>
              <w:t xml:space="preserve"> in the FR Reference Model MB.</w:t>
            </w:r>
          </w:p>
        </w:tc>
        <w:tc>
          <w:tcPr>
            <w:tcW w:w="2635" w:type="dxa"/>
            <w:noWrap/>
            <w:hideMark/>
          </w:tcPr>
          <w:p w:rsidR="00CE6434" w:rsidRPr="005057F4" w:rsidRDefault="00CE6434">
            <w:pPr>
              <w:rPr>
                <w:color w:val="538135" w:themeColor="accent6" w:themeShade="BF"/>
              </w:rPr>
            </w:pPr>
            <w:r w:rsidRPr="005057F4">
              <w:rPr>
                <w:color w:val="538135" w:themeColor="accent6" w:themeShade="BF"/>
              </w:rPr>
              <w:t>JP</w:t>
            </w:r>
          </w:p>
        </w:tc>
        <w:tc>
          <w:tcPr>
            <w:tcW w:w="1467" w:type="dxa"/>
            <w:noWrap/>
            <w:hideMark/>
          </w:tcPr>
          <w:p w:rsidR="00CE6434" w:rsidRPr="005057F4" w:rsidRDefault="005057F4">
            <w:pPr>
              <w:rPr>
                <w:color w:val="538135" w:themeColor="accent6" w:themeShade="BF"/>
              </w:rPr>
            </w:pPr>
            <w:r w:rsidRPr="005057F4">
              <w:rPr>
                <w:color w:val="538135" w:themeColor="accent6" w:themeShade="BF"/>
              </w:rPr>
              <w:t>CLOSED - 191024</w:t>
            </w:r>
            <w:bookmarkStart w:id="0" w:name="_GoBack"/>
            <w:bookmarkEnd w:id="0"/>
          </w:p>
        </w:tc>
        <w:tc>
          <w:tcPr>
            <w:tcW w:w="710" w:type="dxa"/>
            <w:noWrap/>
            <w:hideMark/>
          </w:tcPr>
          <w:p w:rsidR="00CE6434" w:rsidRPr="005057F4" w:rsidRDefault="005057F4">
            <w:pPr>
              <w:rPr>
                <w:color w:val="538135" w:themeColor="accent6" w:themeShade="BF"/>
              </w:rPr>
            </w:pPr>
            <w:r w:rsidRPr="005057F4">
              <w:rPr>
                <w:color w:val="538135" w:themeColor="accent6" w:themeShade="BF"/>
              </w:rPr>
              <w:t>C</w:t>
            </w:r>
          </w:p>
        </w:tc>
      </w:tr>
    </w:tbl>
    <w:p w:rsidR="00CE6434" w:rsidRDefault="00CE6434" w:rsidP="00CF1563"/>
    <w:p w:rsidR="00CE6434" w:rsidRDefault="00CE6434" w:rsidP="00CF1563"/>
    <w:p w:rsidR="00F97AFB" w:rsidRPr="00F97AFB" w:rsidRDefault="00F97AFB" w:rsidP="00F97AFB">
      <w:pPr>
        <w:tabs>
          <w:tab w:val="left" w:pos="5445"/>
        </w:tabs>
      </w:pPr>
      <w:r>
        <w:tab/>
      </w:r>
    </w:p>
    <w:sectPr w:rsidR="00F97AFB" w:rsidRPr="00F97AFB" w:rsidSect="004971B1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B50" w:rsidRDefault="003D3B50" w:rsidP="004971B1">
      <w:pPr>
        <w:spacing w:after="0" w:line="240" w:lineRule="auto"/>
      </w:pPr>
      <w:r>
        <w:separator/>
      </w:r>
    </w:p>
  </w:endnote>
  <w:endnote w:type="continuationSeparator" w:id="0">
    <w:p w:rsidR="003D3B50" w:rsidRDefault="003D3B50" w:rsidP="0049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680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71B1" w:rsidRDefault="004971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7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71B1" w:rsidRDefault="00497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B50" w:rsidRDefault="003D3B50" w:rsidP="004971B1">
      <w:pPr>
        <w:spacing w:after="0" w:line="240" w:lineRule="auto"/>
      </w:pPr>
      <w:r>
        <w:separator/>
      </w:r>
    </w:p>
  </w:footnote>
  <w:footnote w:type="continuationSeparator" w:id="0">
    <w:p w:rsidR="003D3B50" w:rsidRDefault="003D3B50" w:rsidP="0049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B1" w:rsidRDefault="00CE6434" w:rsidP="00AF2176">
    <w:pPr>
      <w:pStyle w:val="Header"/>
      <w:tabs>
        <w:tab w:val="clear" w:pos="4680"/>
        <w:tab w:val="clear" w:pos="9360"/>
        <w:tab w:val="center" w:pos="6480"/>
        <w:tab w:val="right" w:pos="12780"/>
      </w:tabs>
    </w:pPr>
    <w:proofErr w:type="spellStart"/>
    <w:r>
      <w:rPr>
        <w:b/>
        <w:bCs/>
      </w:rPr>
      <w:t>F</w:t>
    </w:r>
    <w:r w:rsidR="009C53BE">
      <w:rPr>
        <w:b/>
        <w:bCs/>
      </w:rPr>
      <w:t>wdFrameCsts</w:t>
    </w:r>
    <w:r>
      <w:rPr>
        <w:b/>
        <w:bCs/>
      </w:rPr>
      <w:t>Provider</w:t>
    </w:r>
    <w:proofErr w:type="spellEnd"/>
    <w:r w:rsidR="00AF2176">
      <w:rPr>
        <w:b/>
        <w:bCs/>
      </w:rPr>
      <w:tab/>
    </w:r>
    <w:r w:rsidR="00AF2176">
      <w:rPr>
        <w:b/>
        <w:bCs/>
      </w:rPr>
      <w:tab/>
    </w:r>
    <w:r w:rsidR="00AF2176">
      <w:rPr>
        <w:b/>
        <w:bCs/>
      </w:rPr>
      <w:fldChar w:fldCharType="begin"/>
    </w:r>
    <w:r w:rsidR="00AF2176">
      <w:rPr>
        <w:b/>
        <w:bCs/>
      </w:rPr>
      <w:instrText xml:space="preserve"> FILENAME   \* MERGEFORMAT </w:instrText>
    </w:r>
    <w:r w:rsidR="00AF2176">
      <w:rPr>
        <w:b/>
        <w:bCs/>
      </w:rPr>
      <w:fldChar w:fldCharType="separate"/>
    </w:r>
    <w:r w:rsidR="005057F4">
      <w:rPr>
        <w:b/>
        <w:bCs/>
        <w:noProof/>
      </w:rPr>
      <w:t>FwdFrameCstsProvider-191024-JP.docx</w:t>
    </w:r>
    <w:r w:rsidR="00AF2176">
      <w:rPr>
        <w:b/>
        <w:bCs/>
      </w:rPr>
      <w:fldChar w:fldCharType="end"/>
    </w:r>
  </w:p>
  <w:p w:rsidR="004971B1" w:rsidRDefault="004971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B1"/>
    <w:rsid w:val="00081A62"/>
    <w:rsid w:val="000F5BF7"/>
    <w:rsid w:val="001346B6"/>
    <w:rsid w:val="00153C47"/>
    <w:rsid w:val="0015539F"/>
    <w:rsid w:val="001802C5"/>
    <w:rsid w:val="00225A0D"/>
    <w:rsid w:val="00276948"/>
    <w:rsid w:val="002A76FB"/>
    <w:rsid w:val="003D3B50"/>
    <w:rsid w:val="004126BD"/>
    <w:rsid w:val="004971B1"/>
    <w:rsid w:val="004D61E5"/>
    <w:rsid w:val="005057F4"/>
    <w:rsid w:val="006053CD"/>
    <w:rsid w:val="00682063"/>
    <w:rsid w:val="00682449"/>
    <w:rsid w:val="006D0EA1"/>
    <w:rsid w:val="006D13FA"/>
    <w:rsid w:val="006F2CC0"/>
    <w:rsid w:val="007E31E8"/>
    <w:rsid w:val="008227E1"/>
    <w:rsid w:val="00946C25"/>
    <w:rsid w:val="009C53BE"/>
    <w:rsid w:val="00A753E7"/>
    <w:rsid w:val="00AF2176"/>
    <w:rsid w:val="00BE4CE2"/>
    <w:rsid w:val="00C54FE8"/>
    <w:rsid w:val="00CE3269"/>
    <w:rsid w:val="00CE6434"/>
    <w:rsid w:val="00CF1563"/>
    <w:rsid w:val="00D735FD"/>
    <w:rsid w:val="00D803AD"/>
    <w:rsid w:val="00DF53E8"/>
    <w:rsid w:val="00F97AFB"/>
    <w:rsid w:val="00FC0CF6"/>
    <w:rsid w:val="00FE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45179"/>
  <w15:chartTrackingRefBased/>
  <w15:docId w15:val="{3B683476-131A-4AD4-BF58-00ECB8BC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7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1B1"/>
  </w:style>
  <w:style w:type="paragraph" w:styleId="Footer">
    <w:name w:val="footer"/>
    <w:basedOn w:val="Normal"/>
    <w:link w:val="FooterChar"/>
    <w:uiPriority w:val="99"/>
    <w:unhideWhenUsed/>
    <w:rsid w:val="00497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Pietras</dc:creator>
  <cp:keywords/>
  <dc:description/>
  <cp:lastModifiedBy>John Pietras</cp:lastModifiedBy>
  <cp:revision>3</cp:revision>
  <dcterms:created xsi:type="dcterms:W3CDTF">2019-11-04T14:51:00Z</dcterms:created>
  <dcterms:modified xsi:type="dcterms:W3CDTF">2019-11-04T14:53:00Z</dcterms:modified>
</cp:coreProperties>
</file>